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0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2830830</wp:posOffset>
                  </wp:positionH>
                  <wp:positionV relativeFrom="paragraph">
                    <wp:posOffset>-88900</wp:posOffset>
                  </wp:positionV>
                  <wp:extent cx="648335" cy="882650"/>
                  <wp:effectExtent l="0" t="0" r="18415" b="12700"/>
                  <wp:wrapSquare wrapText="left"/>
                  <wp:docPr id="1" name="Изображение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2" descr="Gerb_New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1"/>
              </w:rPr>
              <w:t>СЕЛЬСКОЕ ПОСЕЛЕНИЕ СО</w:t>
            </w:r>
            <w:r>
              <w:rPr>
                <w:rFonts w:hint="default" w:ascii="Times New Roman" w:hAnsi="Times New Roman"/>
                <w:b/>
                <w:sz w:val="22"/>
                <w:szCs w:val="21"/>
                <w:lang w:val="ru-RU"/>
              </w:rPr>
              <w:t>РУМ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1"/>
              </w:rPr>
              <w:t>БЕЛОЯРСКИЙ РАЙОН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– ЮГРА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</w:rPr>
              <w:t>АДМИНИСТРАЦИЯ СЕЛЬСКОГО ПОСЕЛЕНИЯ СО</w:t>
            </w:r>
            <w:r>
              <w:rPr>
                <w:rFonts w:ascii="Times New Roman" w:hAnsi="Times New Roman" w:cs="Times New Roman"/>
                <w:bCs w:val="0"/>
                <w:i w:val="0"/>
                <w:sz w:val="28"/>
                <w:szCs w:val="28"/>
                <w:lang w:val="ru-RU"/>
              </w:rPr>
              <w:t>РУМ</w:t>
            </w:r>
          </w:p>
          <w:p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ПОСТАНОВЛЕНИЕ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30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года                                                                                              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№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66"/>
              <w:ind w:firstLine="70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66"/>
              <w:ind w:firstLine="70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муниципальной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энергосбережения и повышения энергетической эффективности администрации сельского поселения Со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2023-2025 годы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от 23 ноября 2009 года №261                                     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11 февраля 2021 года № 161 «Об утверждении требований к региональным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создания условий для энергосбережения и повышения энергетической эффективности администрации сельского поселения 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рум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 о с т а н о в л я ю:</w:t>
            </w:r>
          </w:p>
          <w:p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Утвердить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муниципальную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энергосбережения и повышения энергетической эффективности администрации сельского поселения 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2023-2025 годы.</w:t>
            </w:r>
          </w:p>
          <w:p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Опубликовать настоящее постановление в бюллетене «Официальный вестник сельского поселения 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Настоящее постановление вступает в силу после его официального опубликования.</w:t>
            </w:r>
          </w:p>
          <w:p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рум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66"/>
              <w:ind w:firstLine="0"/>
              <w:outlineLvl w:val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.Ю. Большинская</w:t>
            </w:r>
          </w:p>
          <w:p>
            <w:pPr>
              <w:jc w:val="left"/>
              <w:rPr>
                <w:b/>
                <w:sz w:val="22"/>
                <w:szCs w:val="22"/>
              </w:rPr>
            </w:pPr>
          </w:p>
          <w:p>
            <w:pPr>
              <w:ind w:firstLine="466"/>
              <w:jc w:val="right"/>
              <w:rPr>
                <w:rFonts w:hint="default"/>
                <w:b/>
                <w:sz w:val="22"/>
                <w:szCs w:val="22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shd w:val="clear" w:color="auto" w:fill="auto"/>
          </w:tcPr>
          <w:p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firstLine="466"/>
              <w:jc w:val="right"/>
              <w:rPr>
                <w:sz w:val="22"/>
                <w:szCs w:val="22"/>
                <w:lang w:val="ru-RU"/>
              </w:rPr>
            </w:pPr>
          </w:p>
          <w:p>
            <w:pPr>
              <w:ind w:firstLine="466"/>
              <w:jc w:val="right"/>
              <w:rPr>
                <w:sz w:val="22"/>
                <w:szCs w:val="22"/>
                <w:lang w:val="ru-RU"/>
              </w:rPr>
            </w:pPr>
          </w:p>
          <w:p>
            <w:pPr>
              <w:ind w:firstLine="466"/>
              <w:jc w:val="right"/>
              <w:rPr>
                <w:sz w:val="22"/>
                <w:szCs w:val="22"/>
                <w:lang w:val="ru-RU"/>
              </w:rPr>
            </w:pPr>
          </w:p>
          <w:p>
            <w:pPr>
              <w:ind w:firstLine="466"/>
              <w:jc w:val="right"/>
              <w:rPr>
                <w:sz w:val="22"/>
                <w:szCs w:val="22"/>
                <w:lang w:val="ru-RU"/>
              </w:rPr>
            </w:pPr>
          </w:p>
          <w:p>
            <w:pPr>
              <w:ind w:firstLine="466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УТВЕРЖЕДНА</w:t>
            </w:r>
          </w:p>
          <w:p>
            <w:pPr>
              <w:wordWrap w:val="0"/>
              <w:ind w:firstLine="466"/>
              <w:jc w:val="righ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постановлением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администрации</w:t>
            </w:r>
          </w:p>
          <w:p>
            <w:pPr>
              <w:wordWrap w:val="0"/>
              <w:ind w:firstLine="466"/>
              <w:jc w:val="righ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Сельского поселения Сорум</w:t>
            </w:r>
          </w:p>
          <w:p>
            <w:pPr>
              <w:ind w:firstLine="4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18 от </w:t>
            </w:r>
            <w:r>
              <w:rPr>
                <w:rFonts w:hint="default"/>
                <w:sz w:val="22"/>
                <w:szCs w:val="22"/>
                <w:lang w:val="en-US"/>
              </w:rPr>
              <w:t xml:space="preserve">30 </w:t>
            </w:r>
            <w:r>
              <w:rPr>
                <w:rFonts w:hint="default"/>
                <w:sz w:val="22"/>
                <w:szCs w:val="22"/>
                <w:lang w:val="ru-RU"/>
              </w:rPr>
              <w:t>марта</w:t>
            </w:r>
            <w:r>
              <w:rPr>
                <w:sz w:val="22"/>
                <w:szCs w:val="22"/>
              </w:rPr>
              <w:t xml:space="preserve"> 202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</w:tc>
      </w:tr>
    </w:tbl>
    <w:p/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  <w:r>
        <w:rPr>
          <w:b/>
          <w:szCs w:val="28"/>
          <w:lang w:val="ru-RU"/>
        </w:rPr>
        <w:t>Муниципальной</w:t>
      </w:r>
      <w:r>
        <w:rPr>
          <w:rFonts w:hint="default"/>
          <w:b/>
          <w:szCs w:val="28"/>
          <w:lang w:val="ru-RU"/>
        </w:rPr>
        <w:t xml:space="preserve"> п</w:t>
      </w:r>
      <w:r>
        <w:rPr>
          <w:b/>
          <w:szCs w:val="28"/>
        </w:rPr>
        <w:t>рограммы</w:t>
      </w:r>
    </w:p>
    <w:p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энергосбережения и повышения энергетической эффективности муниципального казённого учреждения Администраци</w:t>
      </w:r>
      <w:r>
        <w:rPr>
          <w:b/>
          <w:szCs w:val="28"/>
          <w:lang w:val="ru-RU"/>
        </w:rPr>
        <w:t>и</w:t>
      </w:r>
      <w:r>
        <w:rPr>
          <w:b/>
          <w:szCs w:val="28"/>
        </w:rPr>
        <w:t xml:space="preserve"> сельского поселения Сорум Белоярского района на период 2023-2025 гг.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02"/>
        <w:gridCol w:w="6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организации</w:t>
            </w:r>
          </w:p>
        </w:tc>
        <w:tc>
          <w:tcPr>
            <w:tcW w:w="3474" w:type="pct"/>
            <w:shd w:val="clear" w:color="auto" w:fill="auto"/>
          </w:tcPr>
          <w:p>
            <w:pPr>
              <w:ind w:firstLine="59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Муниципальное казённое учреждение Администрация сельского поселения Сорум Белоярского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Федеральный закон № 261-ФЗ от 23.11.2009 </w:t>
            </w:r>
            <w:r>
              <w:rPr>
                <w:rFonts w:hint="default" w:eastAsia="Calibri"/>
                <w:spacing w:val="-4"/>
                <w:sz w:val="24"/>
                <w:lang w:val="ru-RU" w:eastAsia="en-US"/>
              </w:rPr>
              <w:t xml:space="preserve">                        </w:t>
            </w:r>
            <w:r>
              <w:rPr>
                <w:rFonts w:eastAsia="Calibri"/>
                <w:spacing w:val="-4"/>
                <w:sz w:val="24"/>
                <w:lang w:eastAsia="en-US"/>
              </w:rPr>
              <w:t>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      </w:r>
          </w:p>
          <w:p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11 февраля 2021 года № 161 «Об утверждении требований к региональным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>
              <w:rPr>
                <w:rFonts w:eastAsia="Calibri"/>
                <w:spacing w:val="-4"/>
                <w:sz w:val="24"/>
                <w:lang w:eastAsia="en-US"/>
              </w:rPr>
              <w:t>;</w:t>
            </w:r>
          </w:p>
          <w:p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Приказ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Постановление Правительства Российской Федерации от 07.12.2019 № 1289 «О требованиях к снижению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воды»</w:t>
            </w:r>
          </w:p>
          <w:p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Методические рекомендации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воды, утверждёнными приказом Министерства экономического развития Российской Федерации от 15.07.2020 № 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val="ru-RU"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 xml:space="preserve">Полное наименование исполнителей и (или) соисполнителей </w:t>
            </w:r>
            <w:r>
              <w:rPr>
                <w:rFonts w:eastAsia="Calibri"/>
                <w:b/>
                <w:spacing w:val="-4"/>
                <w:sz w:val="24"/>
                <w:lang w:val="ru-RU" w:eastAsia="en-US"/>
              </w:rPr>
              <w:t>муниципальной</w:t>
            </w:r>
          </w:p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pStyle w:val="32"/>
              <w:tabs>
                <w:tab w:val="left" w:pos="270"/>
              </w:tabs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Муниципальное казённое учреждение Администрация сельского поселения Сорум Белоярского района, а также другие юридические и физические лица, имеющие право на выполнение соответствующих видов работ и определяемые по результатам конкурсного отбора, аукциона, запроса котировок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разработчиков 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pStyle w:val="32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Общество с ограниченной ответственностью «Объединение энергоменеджмента», г. Санкт-Петербург</w:t>
            </w:r>
          </w:p>
          <w:p>
            <w:pPr>
              <w:pStyle w:val="32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Почтовый адрес: 197227, Санкт-Петербург, Комендантский пр, д. 4, литер А, офис 406А, 407 А.</w:t>
            </w:r>
          </w:p>
          <w:p>
            <w:pPr>
              <w:pStyle w:val="32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Тел./факс: (812) 449-03-16</w:t>
            </w:r>
          </w:p>
          <w:p>
            <w:pPr>
              <w:pStyle w:val="32"/>
              <w:tabs>
                <w:tab w:val="left" w:pos="270"/>
              </w:tabs>
              <w:spacing w:before="0" w:beforeAutospacing="0" w:after="0" w:afterAutospacing="0"/>
              <w:ind w:firstLine="250"/>
              <w:jc w:val="left"/>
              <w:rPr>
                <w:rFonts w:eastAsia="Calibri"/>
                <w:spacing w:val="-4"/>
                <w:sz w:val="24"/>
                <w:lang w:val="en-US"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E-mail: office@o-em.ru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 xml:space="preserve">Цели </w:t>
            </w:r>
            <w:r>
              <w:rPr>
                <w:rFonts w:eastAsia="Calibri"/>
                <w:b/>
                <w:spacing w:val="-4"/>
                <w:sz w:val="24"/>
                <w:lang w:val="ru-RU" w:eastAsia="en-US"/>
              </w:rPr>
              <w:t>муниципальной</w:t>
            </w:r>
            <w:r>
              <w:rPr>
                <w:rFonts w:hint="default" w:eastAsia="Calibri"/>
                <w:b/>
                <w:spacing w:val="-4"/>
                <w:sz w:val="24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spacing w:val="-4"/>
                <w:sz w:val="24"/>
                <w:lang w:eastAsia="en-US"/>
              </w:rPr>
              <w:t>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pStyle w:val="32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Целями </w:t>
            </w:r>
            <w:r>
              <w:rPr>
                <w:rFonts w:eastAsia="Calibri"/>
                <w:spacing w:val="-4"/>
                <w:sz w:val="24"/>
                <w:lang w:val="ru-RU" w:eastAsia="en-US"/>
              </w:rPr>
              <w:t>муниципальной</w:t>
            </w:r>
            <w:r>
              <w:rPr>
                <w:rFonts w:hint="default" w:eastAsia="Calibri"/>
                <w:spacing w:val="-4"/>
                <w:sz w:val="24"/>
                <w:lang w:val="ru-RU" w:eastAsia="en-US"/>
              </w:rPr>
              <w:t xml:space="preserve"> п</w:t>
            </w:r>
            <w:r>
              <w:rPr>
                <w:rFonts w:eastAsia="Calibri"/>
                <w:spacing w:val="-4"/>
                <w:sz w:val="24"/>
                <w:lang w:eastAsia="en-US"/>
              </w:rPr>
              <w:t>рограммы являются:</w:t>
            </w:r>
          </w:p>
          <w:p>
            <w:pPr>
              <w:pStyle w:val="32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об объеме потребления энергетических ресурсов;</w:t>
            </w:r>
          </w:p>
          <w:p>
            <w:pPr>
              <w:pStyle w:val="32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 состоянии оборудования, сетей, зданий;</w:t>
            </w:r>
          </w:p>
          <w:p>
            <w:pPr>
              <w:pStyle w:val="32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      </w:r>
          </w:p>
          <w:p>
            <w:pPr>
              <w:pStyle w:val="32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Определение показателей энергетической эффективности;</w:t>
            </w:r>
          </w:p>
          <w:p>
            <w:pPr>
              <w:pStyle w:val="32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Определение потенциала энергосбережения и нерациональных потерь топливно-энергетических ресурсов;</w:t>
            </w:r>
          </w:p>
          <w:p>
            <w:pPr>
              <w:pStyle w:val="32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 xml:space="preserve">Задачи </w:t>
            </w:r>
            <w:r>
              <w:rPr>
                <w:rFonts w:eastAsia="Calibri"/>
                <w:b/>
                <w:spacing w:val="-4"/>
                <w:sz w:val="24"/>
                <w:lang w:val="ru-RU" w:eastAsia="en-US"/>
              </w:rPr>
              <w:t>муниципальной</w:t>
            </w:r>
            <w:r>
              <w:rPr>
                <w:rFonts w:hint="default" w:eastAsia="Calibri"/>
                <w:b/>
                <w:spacing w:val="-4"/>
                <w:sz w:val="24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spacing w:val="-4"/>
                <w:sz w:val="24"/>
                <w:lang w:eastAsia="en-US"/>
              </w:rPr>
              <w:t>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pStyle w:val="32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К задачам </w:t>
            </w:r>
            <w:r>
              <w:rPr>
                <w:rFonts w:eastAsia="Calibri"/>
                <w:spacing w:val="-4"/>
                <w:sz w:val="24"/>
                <w:lang w:val="ru-RU" w:eastAsia="en-US"/>
              </w:rPr>
              <w:t>муниципальной</w:t>
            </w:r>
            <w:r>
              <w:rPr>
                <w:rFonts w:hint="default" w:eastAsia="Calibri"/>
                <w:spacing w:val="-4"/>
                <w:sz w:val="24"/>
                <w:lang w:val="ru-RU" w:eastAsia="en-US"/>
              </w:rPr>
              <w:t xml:space="preserve"> п</w:t>
            </w:r>
            <w:r>
              <w:rPr>
                <w:rFonts w:eastAsia="Calibri"/>
                <w:spacing w:val="-4"/>
                <w:sz w:val="24"/>
                <w:lang w:eastAsia="en-US"/>
              </w:rPr>
              <w:t>рограммы следует отнести следующее:</w:t>
            </w:r>
          </w:p>
          <w:p>
            <w:pPr>
              <w:pStyle w:val="32"/>
              <w:numPr>
                <w:ilvl w:val="0"/>
                <w:numId w:val="2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>
            <w:pPr>
              <w:pStyle w:val="32"/>
              <w:numPr>
                <w:ilvl w:val="0"/>
                <w:numId w:val="2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оснащение современными приборами учёта системы электроснабжения;</w:t>
            </w:r>
          </w:p>
          <w:p>
            <w:pPr>
              <w:pStyle w:val="32"/>
              <w:numPr>
                <w:ilvl w:val="0"/>
                <w:numId w:val="2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теплоснабжения;</w:t>
            </w:r>
          </w:p>
          <w:p>
            <w:pPr>
              <w:pStyle w:val="32"/>
              <w:numPr>
                <w:ilvl w:val="0"/>
                <w:numId w:val="2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электроснабжения;</w:t>
            </w:r>
          </w:p>
          <w:p>
            <w:pPr>
              <w:pStyle w:val="32"/>
              <w:numPr>
                <w:ilvl w:val="0"/>
                <w:numId w:val="2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b/>
                <w:i/>
                <w:sz w:val="24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водоснабжения и водоотведения.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 xml:space="preserve">Целевые показатели </w:t>
            </w:r>
            <w:r>
              <w:rPr>
                <w:rFonts w:eastAsia="Calibri"/>
                <w:b/>
                <w:spacing w:val="-4"/>
                <w:sz w:val="24"/>
                <w:lang w:val="ru-RU" w:eastAsia="en-US"/>
              </w:rPr>
              <w:t>муниципальной</w:t>
            </w:r>
            <w:r>
              <w:rPr>
                <w:rFonts w:hint="default" w:eastAsia="Calibri"/>
                <w:b/>
                <w:spacing w:val="-4"/>
                <w:sz w:val="24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spacing w:val="-4"/>
                <w:sz w:val="24"/>
                <w:lang w:eastAsia="en-US"/>
              </w:rPr>
              <w:t>программы</w:t>
            </w:r>
          </w:p>
        </w:tc>
        <w:tc>
          <w:tcPr>
            <w:tcW w:w="3474" w:type="pct"/>
            <w:shd w:val="clear" w:color="auto" w:fill="auto"/>
          </w:tcPr>
          <w:tbl>
            <w:tblPr>
              <w:tblStyle w:val="9"/>
              <w:tblW w:w="690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6"/>
              <w:gridCol w:w="1417"/>
              <w:gridCol w:w="1283"/>
              <w:gridCol w:w="1127"/>
              <w:gridCol w:w="113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tblHeader/>
              </w:trPr>
              <w:tc>
                <w:tcPr>
                  <w:tcW w:w="19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Показатель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Удельное годовое значение</w:t>
                  </w:r>
                </w:p>
              </w:tc>
              <w:tc>
                <w:tcPr>
                  <w:tcW w:w="12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Уровень высокой эффективности (справочно)</w:t>
                  </w:r>
                </w:p>
              </w:tc>
              <w:tc>
                <w:tcPr>
                  <w:tcW w:w="11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Потенциал снижения потребления</w:t>
                  </w:r>
                </w:p>
              </w:tc>
              <w:tc>
                <w:tcPr>
                  <w:tcW w:w="11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Целевой уровень экономии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19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Потребление тепловой энергии на отопление и вентиляцию, Втч/м</w:t>
                  </w:r>
                  <w:r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/ГСОП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5,58</w:t>
                  </w:r>
                </w:p>
              </w:tc>
              <w:tc>
                <w:tcPr>
                  <w:tcW w:w="12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29,7</w:t>
                  </w:r>
                </w:p>
              </w:tc>
              <w:tc>
                <w:tcPr>
                  <w:tcW w:w="11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19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Потребление горячей воды, м</w:t>
                  </w:r>
                  <w:r>
                    <w:rPr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/чел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требование по снижению потребления не устанавливается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19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Потребление холодной воды, м</w:t>
                  </w:r>
                  <w:r>
                    <w:rPr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/чел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4,17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19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Потребление электрической энергии, кВт×ч/м</w:t>
                  </w:r>
                  <w:r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30,50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33,3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19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Потребление моторного топлива, тут/л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0,00001</w:t>
                  </w:r>
                </w:p>
              </w:tc>
              <w:tc>
                <w:tcPr>
                  <w:tcW w:w="12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6%</w:t>
                  </w:r>
                </w:p>
              </w:tc>
            </w:tr>
          </w:tbl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 xml:space="preserve">Сроки и этапы реализации </w:t>
            </w:r>
            <w:r>
              <w:rPr>
                <w:rFonts w:eastAsia="Calibri"/>
                <w:b/>
                <w:spacing w:val="-4"/>
                <w:sz w:val="24"/>
                <w:lang w:val="ru-RU" w:eastAsia="en-US"/>
              </w:rPr>
              <w:t>муниципальной</w:t>
            </w:r>
            <w:r>
              <w:rPr>
                <w:rFonts w:hint="default" w:eastAsia="Calibri"/>
                <w:b/>
                <w:spacing w:val="-4"/>
                <w:sz w:val="24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spacing w:val="-4"/>
                <w:sz w:val="24"/>
                <w:lang w:eastAsia="en-US"/>
              </w:rPr>
              <w:t>программы</w:t>
            </w:r>
          </w:p>
        </w:tc>
        <w:tc>
          <w:tcPr>
            <w:tcW w:w="3474" w:type="pct"/>
            <w:shd w:val="clear" w:color="auto" w:fill="auto"/>
            <w:vAlign w:val="center"/>
          </w:tcPr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2023-2025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 xml:space="preserve">Источники и объемы финансового обеспечения реализации </w:t>
            </w:r>
            <w:r>
              <w:rPr>
                <w:rFonts w:eastAsia="Calibri"/>
                <w:b/>
                <w:spacing w:val="-4"/>
                <w:sz w:val="24"/>
                <w:lang w:val="ru-RU" w:eastAsia="en-US"/>
              </w:rPr>
              <w:t>муниципальной</w:t>
            </w:r>
            <w:r>
              <w:rPr>
                <w:rFonts w:hint="default" w:eastAsia="Calibri"/>
                <w:b/>
                <w:spacing w:val="-4"/>
                <w:sz w:val="24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spacing w:val="-4"/>
                <w:sz w:val="24"/>
                <w:lang w:eastAsia="en-US"/>
              </w:rPr>
              <w:t>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Источником финансирования мероприятий программы является бюджет МО Белоярский район ХМАО-Югры.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Здание энергоэффективно. Требования по снижению потребления энергоресурсов не устанавливаются. Мероприятия, требующие финансовых затрат, не предлагаются.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 xml:space="preserve">Планируемые результаты реализации </w:t>
            </w:r>
            <w:r>
              <w:rPr>
                <w:rFonts w:eastAsia="Calibri"/>
                <w:b/>
                <w:spacing w:val="-4"/>
                <w:sz w:val="24"/>
                <w:lang w:val="ru-RU" w:eastAsia="en-US"/>
              </w:rPr>
              <w:t>муниципальной</w:t>
            </w:r>
            <w:r>
              <w:rPr>
                <w:rFonts w:hint="default" w:eastAsia="Calibri"/>
                <w:b/>
                <w:spacing w:val="-4"/>
                <w:sz w:val="24"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spacing w:val="-4"/>
                <w:sz w:val="24"/>
                <w:lang w:eastAsia="en-US"/>
              </w:rPr>
              <w:t>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•</w:t>
            </w:r>
            <w:r>
              <w:rPr>
                <w:bCs/>
                <w:iCs/>
                <w:sz w:val="24"/>
              </w:rPr>
              <w:tab/>
            </w:r>
            <w:r>
              <w:rPr>
                <w:bCs/>
                <w:iCs/>
                <w:sz w:val="24"/>
              </w:rPr>
              <w:t>сокращение объемов потребления: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электрической энергии – не требуется;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тепловой энергии – не требуется;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горячей воды – не требуется;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холодной воды – не требуется.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•</w:t>
            </w:r>
            <w:r>
              <w:rPr>
                <w:bCs/>
                <w:iCs/>
                <w:sz w:val="24"/>
              </w:rPr>
              <w:tab/>
            </w:r>
            <w:r>
              <w:rPr>
                <w:bCs/>
                <w:iCs/>
                <w:sz w:val="24"/>
              </w:rPr>
              <w:t>улучшение технических характеристик помещения учреждения.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Социальная эффективность: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- формирование энергосберегающего типа мышления у сотрудников Учреждения,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>
              <w:rPr>
                <w:bCs/>
                <w:iCs/>
                <w:sz w:val="24"/>
              </w:rPr>
              <w:t>-эффективное использование энергетических ресурсов в Учреждении.</w:t>
            </w:r>
          </w:p>
        </w:tc>
      </w:tr>
    </w:tbl>
    <w:p>
      <w:pPr>
        <w:pageBreakBefore/>
        <w:spacing w:line="360" w:lineRule="auto"/>
        <w:ind w:firstLine="709"/>
        <w:rPr>
          <w:szCs w:val="28"/>
        </w:rPr>
      </w:pPr>
      <w:r>
        <w:rPr>
          <w:szCs w:val="28"/>
        </w:rPr>
        <w:t>Сведения об организации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92"/>
        <w:gridCol w:w="6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1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bCs/>
                <w:spacing w:val="-4"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Наименование организации</w:t>
            </w:r>
          </w:p>
        </w:tc>
        <w:tc>
          <w:tcPr>
            <w:tcW w:w="3479" w:type="pct"/>
            <w:shd w:val="clear" w:color="auto" w:fill="auto"/>
          </w:tcPr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Муниципальное казённое учреждения Администрация сельского поселения Сорум Белоярского района (сокращённо – Администрация СП Сорум)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1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br w:type="page"/>
            </w:r>
            <w:r>
              <w:rPr>
                <w:rFonts w:eastAsia="Calibri"/>
                <w:b/>
                <w:spacing w:val="-4"/>
                <w:sz w:val="24"/>
                <w:lang w:eastAsia="en-US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3479" w:type="pct"/>
            <w:shd w:val="clear" w:color="auto" w:fill="auto"/>
          </w:tcPr>
          <w:p>
            <w:pPr>
              <w:pStyle w:val="36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Большинская Марина Юрьевна</w:t>
            </w:r>
          </w:p>
          <w:p>
            <w:pPr>
              <w:pStyle w:val="36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Глава сельского поселения Сорум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</w:pPr>
            <w:r>
              <w:rPr>
                <w:snapToGrid w:val="0"/>
                <w:spacing w:val="-4"/>
                <w:sz w:val="24"/>
              </w:rPr>
              <w:t>8(34670)36-365;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napToGrid w:val="0"/>
                <w:spacing w:val="-4"/>
                <w:sz w:val="24"/>
              </w:rPr>
            </w:pPr>
            <w:r>
              <w:rPr>
                <w:snapToGrid w:val="0"/>
                <w:spacing w:val="-4"/>
                <w:sz w:val="24"/>
              </w:rPr>
              <w:t>8(34670)36-765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z w:val="24"/>
              </w:rPr>
            </w:pPr>
            <w:r>
              <w:fldChar w:fldCharType="begin"/>
            </w:r>
            <w:r>
              <w:instrText xml:space="preserve"> HYPERLINK "mailto:admsorum@mail.ru" </w:instrText>
            </w:r>
            <w:r>
              <w:fldChar w:fldCharType="separate"/>
            </w:r>
            <w:r>
              <w:rPr>
                <w:sz w:val="24"/>
              </w:rPr>
              <w:t>admsorum@mail.ru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,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admsorum86@yandex.ru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1" w:type="pct"/>
            <w:shd w:val="clear" w:color="auto" w:fill="auto"/>
          </w:tcPr>
          <w:p>
            <w:pPr>
              <w:pStyle w:val="36"/>
              <w:rPr>
                <w:rFonts w:ascii="Times New Roman" w:hAnsi="Times New Roman" w:eastAsia="Calibri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pacing w:val="-4"/>
                <w:sz w:val="24"/>
                <w:szCs w:val="24"/>
                <w:lang w:eastAsia="en-US"/>
              </w:rPr>
              <w:t>Ответственный за энергосбережение в учреждении</w:t>
            </w:r>
          </w:p>
        </w:tc>
        <w:tc>
          <w:tcPr>
            <w:tcW w:w="3479" w:type="pct"/>
            <w:shd w:val="clear" w:color="auto" w:fill="auto"/>
          </w:tcPr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Емельянова Людмила Владимировна,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Заместитель главы муниципального образования сельское поселение Сорум, заведующий сектором муниципального хозяйства администрации сельского поселения Сорум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Тел.: 8(34670) 36848,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Эл. почта: admsorum@mail.ru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Наименования и реквизиты нормативных актов организации, определяющих обязанности по обеспечению мероприятий: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Должностная инструкция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Координирование долгосрочных целевых программ: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«Энергосбережение и повышение энергетической эффективности в сельском поселении Сорум»</w:t>
            </w:r>
          </w:p>
        </w:tc>
      </w:tr>
    </w:tbl>
    <w:p>
      <w:pPr>
        <w:pStyle w:val="36"/>
        <w:rPr>
          <w:rFonts w:ascii="Times New Roman" w:hAnsi="Times New Roman" w:eastAsia="Calibri"/>
          <w:spacing w:val="-4"/>
          <w:sz w:val="24"/>
          <w:szCs w:val="24"/>
          <w:lang w:eastAsia="en-US"/>
        </w:rPr>
      </w:pPr>
    </w:p>
    <w:p>
      <w:pPr>
        <w:spacing w:line="360" w:lineRule="auto"/>
        <w:ind w:firstLine="709"/>
        <w:rPr>
          <w:szCs w:val="28"/>
        </w:rPr>
      </w:pPr>
    </w:p>
    <w:p>
      <w:pPr>
        <w:pStyle w:val="2"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="100" w:after="100"/>
        <w:ind w:left="992" w:hanging="425"/>
        <w:jc w:val="both"/>
      </w:pPr>
      <w:bookmarkStart w:id="0" w:name="_Toc118789912"/>
      <w:r>
        <w:t>Анализ текущего состояния энергосбережения в учреждении</w:t>
      </w:r>
      <w:bookmarkEnd w:id="0"/>
    </w:p>
    <w:p>
      <w:pPr>
        <w:spacing w:line="360" w:lineRule="auto"/>
        <w:ind w:firstLine="709"/>
        <w:rPr>
          <w:spacing w:val="-4"/>
          <w:szCs w:val="28"/>
        </w:rPr>
      </w:pPr>
      <w:r>
        <w:rPr>
          <w:spacing w:val="-4"/>
          <w:szCs w:val="28"/>
        </w:rPr>
        <w:t xml:space="preserve">На момент разработки </w:t>
      </w:r>
      <w:r>
        <w:rPr>
          <w:spacing w:val="-4"/>
          <w:szCs w:val="28"/>
          <w:lang w:val="ru-RU"/>
        </w:rPr>
        <w:t>муниципальной</w:t>
      </w:r>
      <w:r>
        <w:rPr>
          <w:rFonts w:hint="default"/>
          <w:spacing w:val="-4"/>
          <w:szCs w:val="28"/>
          <w:lang w:val="ru-RU"/>
        </w:rPr>
        <w:t xml:space="preserve"> </w:t>
      </w:r>
      <w:r>
        <w:rPr>
          <w:spacing w:val="-4"/>
          <w:szCs w:val="28"/>
        </w:rPr>
        <w:t>программы энергосбережения Муниципального казённого учреждения Администрация сельского поселения Сорум Белоярского района, (далее – Администрация СП Сорум) затраты на энергетические ресурсы составляют существенную часть расходов учреждения.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Характеристика здания приведена в таблице 1.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Потребление энергоресурсов и воды приведены в таблице 2.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Бюджет представлен в таблице 3.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4 указаны сведения об оснащенности приборами учета.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5 указаны сведения о потреблении моторного топлива.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6 указаны сведения о транспортных средствах.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7 указаны сведения о договорных отношениях в области потребления энергоресурсов.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  <w:lang w:val="ru-RU"/>
        </w:rPr>
        <w:t>Муниципальная</w:t>
      </w:r>
      <w:r>
        <w:rPr>
          <w:rFonts w:hint="default"/>
          <w:szCs w:val="28"/>
          <w:lang w:val="ru-RU"/>
        </w:rPr>
        <w:t xml:space="preserve"> п</w:t>
      </w:r>
      <w:r>
        <w:rPr>
          <w:szCs w:val="28"/>
        </w:rPr>
        <w:t>рограмма энергосбережения Муниципального казённого учреждения Администрация сельского поселения Сорум Белоярского района разрабатывается для одного здания: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- Здание администрации: 628169, Тюменская область, Ханты-Мансийский автономный округ - Югра, Белоярский район, поселок Сорум, ул. Центральная, дом 34.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Все платежи за энергоресурсы осуществляет Администрация СП Сорум за счёт средств МО Белоярский район ХМАО-Югры.</w:t>
      </w:r>
    </w:p>
    <w:p>
      <w:pPr>
        <w:pStyle w:val="16"/>
        <w:keepNext/>
        <w:keepLines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>
        <w:rPr>
          <w:rFonts w:ascii="Times New Roman" w:hAnsi="Times New Roman"/>
          <w:color w:val="auto"/>
          <w:sz w:val="28"/>
          <w:szCs w:val="28"/>
        </w:rPr>
        <w:fldChar w:fldCharType="separate"/>
      </w:r>
      <w:r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. Характеристики зданий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82"/>
        <w:gridCol w:w="3328"/>
        <w:gridCol w:w="14"/>
        <w:gridCol w:w="3397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</w:trPr>
        <w:tc>
          <w:tcPr>
            <w:tcW w:w="3266" w:type="pct"/>
            <w:gridSpan w:val="3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Здание администрации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266" w:type="pct"/>
            <w:gridSpan w:val="3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адрес размещения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628169, Тюменская область, Ханты-Мансийский автономный округ - Югра, Белоярский район, поселок Сорум, ул. Центральная, дом 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 постройки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общая площадь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Общий объём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этажей/ высота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Этаж, м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Фундамент (тип, материал)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Ленточный, плита, другое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Железобетонные сваи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стены и перегородки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Кирпич, панельные, гипрок и т. д.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Легкобетонные блоки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Окна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vMerge w:val="restar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Двери входные (в том числе и запасные выходы, рассматривается с точки зрения теплопотерь)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Металлические (шт.)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vMerge w:val="continue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Перекрытия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ж/бетон, деревянные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Железобетонные пустотные плиты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Кровля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Шифер, рулонная и т.д.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Профилированные листы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Полы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Деревянные</w:t>
            </w:r>
          </w:p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бетон/плитка</w:t>
            </w:r>
          </w:p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бетон/линолеум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Бетон/ламинат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Система теплоснабжения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Централизованная/ децентрализованная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централизованное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Износ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Физический (по данным бухгалтерии) %</w:t>
            </w:r>
          </w:p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Фактический %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>
      <w:pPr>
        <w:pStyle w:val="16"/>
        <w:keepNext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16"/>
        <w:keepNext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bookmarkStart w:id="1" w:name="Таблица_5"/>
      <w:r>
        <w:rPr>
          <w:rFonts w:ascii="Times New Roman" w:hAnsi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>
        <w:rPr>
          <w:rFonts w:ascii="Times New Roman" w:hAnsi="Times New Roman"/>
          <w:color w:val="auto"/>
          <w:sz w:val="28"/>
          <w:szCs w:val="28"/>
        </w:rPr>
        <w:fldChar w:fldCharType="separate"/>
      </w:r>
      <w:r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1"/>
      <w:r>
        <w:rPr>
          <w:rFonts w:ascii="Times New Roman" w:hAnsi="Times New Roman"/>
          <w:color w:val="auto"/>
          <w:sz w:val="28"/>
          <w:szCs w:val="28"/>
        </w:rPr>
        <w:t>. Сводные данные по потребленным организацией ресурсам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67"/>
        <w:gridCol w:w="1351"/>
        <w:gridCol w:w="1178"/>
        <w:gridCol w:w="1115"/>
        <w:gridCol w:w="1218"/>
        <w:gridCol w:w="1139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Потребление энергоресурсов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кВт*ч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6 512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8 743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7 339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7 200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35.653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48.877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45.281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48.024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50.295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72.17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62.016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69.937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67.450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69.174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72.219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51.593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34.68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62.34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34.70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45.9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2.659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1.834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3.464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19.78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2.575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Численность персонала (с точки зрения потребления энергоресурсов в здании).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shd w:val="clear" w:color="auto" w:fill="auto"/>
            <w:vAlign w:val="center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Персонал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67" w:type="pct"/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9" w:type="pct"/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93" w:type="pct"/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</w:tr>
    </w:tbl>
    <w:p>
      <w:pPr>
        <w:rPr>
          <w:lang w:eastAsia="en-US"/>
        </w:rPr>
      </w:pPr>
    </w:p>
    <w:p>
      <w:pPr>
        <w:keepNext/>
        <w:keepLines/>
        <w:tabs>
          <w:tab w:val="left" w:pos="1843"/>
        </w:tabs>
        <w:spacing w:line="276" w:lineRule="auto"/>
        <w:rPr>
          <w:b/>
          <w:bCs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3</w:t>
      </w:r>
      <w:r>
        <w:rPr>
          <w:b/>
          <w:szCs w:val="28"/>
        </w:rPr>
        <w:fldChar w:fldCharType="end"/>
      </w:r>
      <w:r>
        <w:rPr>
          <w:b/>
          <w:szCs w:val="28"/>
        </w:rPr>
        <w:t xml:space="preserve">. </w:t>
      </w:r>
      <w:r>
        <w:rPr>
          <w:b/>
          <w:bCs/>
        </w:rPr>
        <w:t>Бюджет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373"/>
        <w:gridCol w:w="1489"/>
        <w:gridCol w:w="1175"/>
        <w:gridCol w:w="1471"/>
        <w:gridCol w:w="1326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pct"/>
            <w:shd w:val="clear" w:color="auto" w:fill="auto"/>
            <w:vAlign w:val="center"/>
          </w:tcPr>
          <w:p>
            <w:pPr>
              <w:ind w:lef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2017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2018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2019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2020</w:t>
            </w:r>
          </w:p>
        </w:tc>
        <w:tc>
          <w:tcPr>
            <w:tcW w:w="733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Расходная часть бюджета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100.330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120.648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116.196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119.177</w:t>
            </w:r>
          </w:p>
        </w:tc>
        <w:tc>
          <w:tcPr>
            <w:tcW w:w="733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125.091</w:t>
            </w:r>
          </w:p>
        </w:tc>
      </w:tr>
    </w:tbl>
    <w:p>
      <w:pPr>
        <w:tabs>
          <w:tab w:val="left" w:pos="1843"/>
        </w:tabs>
        <w:spacing w:line="276" w:lineRule="auto"/>
        <w:rPr>
          <w:bCs/>
        </w:rPr>
      </w:pPr>
    </w:p>
    <w:p>
      <w:pPr>
        <w:keepNext/>
        <w:keepLines/>
        <w:spacing w:line="276" w:lineRule="auto"/>
        <w:jc w:val="left"/>
        <w:rPr>
          <w:b/>
          <w:bCs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4</w:t>
      </w:r>
      <w:r>
        <w:rPr>
          <w:b/>
          <w:szCs w:val="28"/>
        </w:rPr>
        <w:fldChar w:fldCharType="end"/>
      </w:r>
      <w:r>
        <w:rPr>
          <w:b/>
          <w:szCs w:val="28"/>
        </w:rPr>
        <w:t xml:space="preserve">. </w:t>
      </w:r>
      <w:r>
        <w:rPr>
          <w:b/>
          <w:bCs/>
        </w:rPr>
        <w:t>Сведения об оснащенности приборами учета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5"/>
        <w:gridCol w:w="2097"/>
        <w:gridCol w:w="1406"/>
        <w:gridCol w:w="1178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7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Счётчики:</w:t>
            </w:r>
          </w:p>
        </w:tc>
        <w:tc>
          <w:tcPr>
            <w:tcW w:w="10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размещения</w:t>
            </w:r>
          </w:p>
        </w:tc>
        <w:tc>
          <w:tcPr>
            <w:tcW w:w="7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5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последней поверки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Электросчётчики</w:t>
            </w:r>
          </w:p>
        </w:tc>
        <w:tc>
          <w:tcPr>
            <w:tcW w:w="106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628169, Тюменская область, Ханты-Мансийский автономный округ - Югра, Белоярский район, поселок Сорум, ул. Центральная, дом 34</w:t>
            </w:r>
          </w:p>
        </w:tc>
        <w:tc>
          <w:tcPr>
            <w:tcW w:w="7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матрица</w:t>
            </w:r>
          </w:p>
        </w:tc>
        <w:tc>
          <w:tcPr>
            <w:tcW w:w="5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А, В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19.08.2020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Счётчики холодной воды</w:t>
            </w:r>
          </w:p>
        </w:tc>
        <w:tc>
          <w:tcPr>
            <w:tcW w:w="1066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СВ-15Г</w:t>
            </w:r>
          </w:p>
        </w:tc>
        <w:tc>
          <w:tcPr>
            <w:tcW w:w="5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А, В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19.08.2020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Счётчики горячей воды</w:t>
            </w:r>
          </w:p>
        </w:tc>
        <w:tc>
          <w:tcPr>
            <w:tcW w:w="1066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СВ-15Г</w:t>
            </w:r>
          </w:p>
        </w:tc>
        <w:tc>
          <w:tcPr>
            <w:tcW w:w="5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А, В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19.08.2020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7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Аппаратура учёта тепловой энергии</w:t>
            </w:r>
          </w:p>
        </w:tc>
        <w:tc>
          <w:tcPr>
            <w:tcW w:w="1066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5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>
      <w:pPr>
        <w:spacing w:line="276" w:lineRule="auto"/>
        <w:rPr>
          <w:b/>
          <w:szCs w:val="28"/>
        </w:rPr>
      </w:pPr>
    </w:p>
    <w:p>
      <w:pPr>
        <w:keepNext/>
        <w:keepLines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Таблица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Таблица \* ARABIC </w:instrText>
      </w:r>
      <w:r>
        <w:rPr>
          <w:b/>
          <w:bCs/>
        </w:rPr>
        <w:fldChar w:fldCharType="separate"/>
      </w:r>
      <w:r>
        <w:rPr>
          <w:b/>
          <w:bCs/>
        </w:rPr>
        <w:t>5</w:t>
      </w:r>
      <w:r>
        <w:rPr>
          <w:b/>
          <w:bCs/>
        </w:rPr>
        <w:fldChar w:fldCharType="end"/>
      </w:r>
      <w:r>
        <w:rPr>
          <w:b/>
          <w:bCs/>
        </w:rPr>
        <w:t>. Потребление моторного топлива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68"/>
        <w:gridCol w:w="1218"/>
        <w:gridCol w:w="1448"/>
        <w:gridCol w:w="1345"/>
        <w:gridCol w:w="119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Бензин АИ 92</w:t>
            </w: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литры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5841.06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5505.96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5757.69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5296.69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226.950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232.988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261.951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240.980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183.886</w:t>
            </w:r>
          </w:p>
        </w:tc>
      </w:tr>
    </w:tbl>
    <w:p>
      <w:pPr>
        <w:spacing w:line="276" w:lineRule="auto"/>
        <w:rPr>
          <w:b/>
          <w:szCs w:val="28"/>
        </w:rPr>
      </w:pPr>
    </w:p>
    <w:p>
      <w:pPr>
        <w:keepNext/>
        <w:keepLines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Таблица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Таблица \* ARABIC </w:instrText>
      </w:r>
      <w:r>
        <w:rPr>
          <w:b/>
          <w:bCs/>
        </w:rPr>
        <w:fldChar w:fldCharType="separate"/>
      </w:r>
      <w:r>
        <w:rPr>
          <w:b/>
          <w:bCs/>
        </w:rPr>
        <w:t>6</w:t>
      </w:r>
      <w:r>
        <w:rPr>
          <w:b/>
          <w:bCs/>
        </w:rPr>
        <w:fldChar w:fldCharType="end"/>
      </w:r>
      <w:r>
        <w:rPr>
          <w:b/>
          <w:bCs/>
        </w:rPr>
        <w:t>. Транспортные средства учреждения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87"/>
        <w:gridCol w:w="1564"/>
        <w:gridCol w:w="880"/>
        <w:gridCol w:w="1142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Марка автотранспортного средства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Объем/</w:t>
            </w:r>
          </w:p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тип двигателя</w:t>
            </w:r>
          </w:p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(дм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бенз/диз)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Дата производства/ Дата начала эксплуатации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пробег за 202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км.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расход топлива по паспорту литров на 100 км пробега</w:t>
            </w:r>
          </w:p>
        </w:tc>
        <w:tc>
          <w:tcPr>
            <w:tcW w:w="12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Фактический расход топлива в 2021 году</w:t>
            </w:r>
          </w:p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литры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UAZ PATRIOT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2693/бензиновый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2018/2019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pct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3.311</w:t>
            </w:r>
          </w:p>
        </w:tc>
      </w:tr>
    </w:tbl>
    <w:p>
      <w:pPr>
        <w:spacing w:line="276" w:lineRule="auto"/>
        <w:rPr>
          <w:b/>
          <w:szCs w:val="28"/>
        </w:rPr>
      </w:pPr>
    </w:p>
    <w:p>
      <w:pPr>
        <w:spacing w:line="276" w:lineRule="auto"/>
        <w:rPr>
          <w:b/>
          <w:szCs w:val="28"/>
        </w:rPr>
      </w:pPr>
    </w:p>
    <w:p>
      <w:pPr>
        <w:keepNext/>
        <w:keepLines/>
        <w:rPr>
          <w:b/>
          <w:szCs w:val="28"/>
        </w:rPr>
        <w:sectPr>
          <w:footerReference r:id="rId4" w:type="first"/>
          <w:footerReference r:id="rId3" w:type="default"/>
          <w:pgSz w:w="11906" w:h="16838"/>
          <w:pgMar w:top="709" w:right="851" w:bottom="1134" w:left="1276" w:header="284" w:footer="567" w:gutter="0"/>
          <w:cols w:space="708" w:num="1"/>
          <w:titlePg/>
          <w:docGrid w:linePitch="381" w:charSpace="0"/>
        </w:sectPr>
      </w:pPr>
    </w:p>
    <w:p>
      <w:pPr>
        <w:keepNext/>
        <w:keepLines/>
        <w:rPr>
          <w:b/>
          <w:bCs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7</w:t>
      </w:r>
      <w:r>
        <w:rPr>
          <w:b/>
          <w:szCs w:val="28"/>
        </w:rPr>
        <w:fldChar w:fldCharType="end"/>
      </w:r>
      <w:r>
        <w:rPr>
          <w:b/>
          <w:szCs w:val="28"/>
        </w:rPr>
        <w:t xml:space="preserve">. </w:t>
      </w:r>
      <w:r>
        <w:rPr>
          <w:b/>
          <w:bCs/>
        </w:rPr>
        <w:t>Сведения о договорных отношениях в области потребления энергоресурсов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068"/>
        <w:gridCol w:w="2288"/>
        <w:gridCol w:w="2953"/>
        <w:gridCol w:w="1610"/>
        <w:gridCol w:w="2219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tblHeader/>
        </w:trPr>
        <w:tc>
          <w:tcPr>
            <w:tcW w:w="68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 энергоресурса</w:t>
            </w:r>
          </w:p>
        </w:tc>
        <w:tc>
          <w:tcPr>
            <w:tcW w:w="68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Здание по адресу</w:t>
            </w:r>
          </w:p>
        </w:tc>
        <w:tc>
          <w:tcPr>
            <w:tcW w:w="76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Ресурсоснабжающая организация</w:t>
            </w:r>
          </w:p>
        </w:tc>
        <w:tc>
          <w:tcPr>
            <w:tcW w:w="98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и дата договора, действующего на 2021 или другой год, если договора пролонгировались</w:t>
            </w:r>
          </w:p>
        </w:tc>
        <w:tc>
          <w:tcPr>
            <w:tcW w:w="53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Установленная мощность.</w:t>
            </w:r>
          </w:p>
        </w:tc>
        <w:tc>
          <w:tcPr>
            <w:tcW w:w="1350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Годовой объём поставляемых ресурсов оплата по счётчикам или по нормативам.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687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1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счётчику (если есть счётчик написать ДА)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Нормативы (заполнить, если нет счетчика)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Сорум ул. Центральная д. 34 помещение № 2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АО «Газпром энергосбыт»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№43ЭН-11/06 от 15.12.2021 года</w:t>
            </w:r>
          </w:p>
        </w:tc>
        <w:tc>
          <w:tcPr>
            <w:tcW w:w="5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0,800</w:t>
            </w:r>
          </w:p>
        </w:tc>
        <w:tc>
          <w:tcPr>
            <w:tcW w:w="7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Сорум ул. Центральная д. 34 помещение № 2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«Газпром трансгаз Югорск»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24-21-3381 от 30.12.2021 года</w:t>
            </w:r>
          </w:p>
        </w:tc>
        <w:tc>
          <w:tcPr>
            <w:tcW w:w="5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159,232</w:t>
            </w:r>
          </w:p>
        </w:tc>
        <w:tc>
          <w:tcPr>
            <w:tcW w:w="7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31,889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27,007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25,096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16,671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11,921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0,000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0,000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0,000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8,171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12,046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23,966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30,149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Горячая вода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Сорум ул. Центральная д. 34 помещение № 2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«Газпром трансгаз Югорск»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24-21-3381 от 30.12.2021 года</w:t>
            </w:r>
          </w:p>
        </w:tc>
        <w:tc>
          <w:tcPr>
            <w:tcW w:w="5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7,780</w:t>
            </w:r>
          </w:p>
        </w:tc>
        <w:tc>
          <w:tcPr>
            <w:tcW w:w="7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Сорум ул. Центральная д. 34 помещение № 2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АО «ЮКЭК-Белоярский»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006862.100/701 В от 01.01.2022 года</w:t>
            </w:r>
          </w:p>
        </w:tc>
        <w:tc>
          <w:tcPr>
            <w:tcW w:w="5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7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>
      <w:pPr>
        <w:spacing w:line="360" w:lineRule="auto"/>
        <w:ind w:firstLine="709"/>
        <w:rPr>
          <w:szCs w:val="28"/>
        </w:rPr>
      </w:pPr>
    </w:p>
    <w:p>
      <w:pPr>
        <w:spacing w:line="360" w:lineRule="auto"/>
        <w:ind w:firstLine="709"/>
        <w:rPr>
          <w:szCs w:val="28"/>
        </w:rPr>
      </w:pPr>
    </w:p>
    <w:p>
      <w:pPr>
        <w:spacing w:line="360" w:lineRule="auto"/>
        <w:ind w:firstLine="709"/>
        <w:rPr>
          <w:szCs w:val="28"/>
        </w:rPr>
      </w:pPr>
    </w:p>
    <w:p>
      <w:pPr>
        <w:jc w:val="center"/>
        <w:rPr>
          <w:b/>
          <w:bCs/>
        </w:rPr>
        <w:sectPr>
          <w:pgSz w:w="16838" w:h="11906" w:orient="landscape"/>
          <w:pgMar w:top="1276" w:right="709" w:bottom="851" w:left="1134" w:header="284" w:footer="567" w:gutter="0"/>
          <w:cols w:space="708" w:num="1"/>
          <w:titlePg/>
          <w:docGrid w:linePitch="381" w:charSpace="0"/>
        </w:sectPr>
      </w:pPr>
    </w:p>
    <w:p>
      <w:pPr>
        <w:pageBreakBefore/>
        <w:jc w:val="center"/>
        <w:rPr>
          <w:b/>
          <w:bCs/>
        </w:rPr>
      </w:pPr>
      <w:r>
        <w:rPr>
          <w:b/>
          <w:bCs/>
        </w:rPr>
        <w:t>Инженерные коммуникации</w:t>
      </w:r>
    </w:p>
    <w:p>
      <w:pPr>
        <w:rPr>
          <w:szCs w:val="28"/>
        </w:rPr>
      </w:pPr>
    </w:p>
    <w:p>
      <w:pPr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Электроснабжение</w:t>
      </w:r>
    </w:p>
    <w:p>
      <w:pPr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Электроснабжение здания Администрации СП Сорум осуществляет акционерное общество «Газпром энергосбыт» (АО «Газпром энергосбыт») по Договорам (контрактам) на поставку электрической энергии от 15.12.2021 № 43ЭН-11/06.</w:t>
      </w:r>
    </w:p>
    <w:p>
      <w:pPr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val="zh-CN" w:eastAsia="en-US"/>
        </w:rPr>
        <w:t xml:space="preserve">Электроснабжение объектов осуществляется по </w:t>
      </w:r>
      <w:r>
        <w:rPr>
          <w:szCs w:val="28"/>
          <w:lang w:eastAsia="en-US"/>
        </w:rPr>
        <w:t xml:space="preserve">одной линии </w:t>
      </w:r>
      <w:r>
        <w:rPr>
          <w:szCs w:val="28"/>
          <w:lang w:val="zh-CN" w:eastAsia="en-US"/>
        </w:rPr>
        <w:t>0,4 кВ</w:t>
      </w:r>
      <w:r>
        <w:rPr>
          <w:szCs w:val="28"/>
          <w:lang w:eastAsia="en-US"/>
        </w:rPr>
        <w:t>.</w:t>
      </w:r>
    </w:p>
    <w:p>
      <w:pPr>
        <w:spacing w:line="240" w:lineRule="auto"/>
        <w:ind w:firstLine="709"/>
        <w:rPr>
          <w:spacing w:val="-6"/>
          <w:szCs w:val="28"/>
          <w:lang w:eastAsia="en-US"/>
        </w:rPr>
      </w:pPr>
      <w:r>
        <w:rPr>
          <w:spacing w:val="-6"/>
          <w:szCs w:val="28"/>
          <w:lang w:val="zh-CN" w:eastAsia="en-US"/>
        </w:rPr>
        <w:t xml:space="preserve">Оплату услуги электроснабжения в </w:t>
      </w:r>
      <w:r>
        <w:rPr>
          <w:spacing w:val="-6"/>
          <w:szCs w:val="28"/>
          <w:lang w:eastAsia="en-US"/>
        </w:rPr>
        <w:t>зданиях</w:t>
      </w:r>
      <w:r>
        <w:rPr>
          <w:spacing w:val="-6"/>
          <w:szCs w:val="28"/>
          <w:lang w:val="zh-CN" w:eastAsia="en-US"/>
        </w:rPr>
        <w:t xml:space="preserve"> </w:t>
      </w:r>
      <w:r>
        <w:rPr>
          <w:spacing w:val="-6"/>
          <w:szCs w:val="28"/>
          <w:lang w:eastAsia="en-US"/>
        </w:rPr>
        <w:t>Администрацией СП Сорум</w:t>
      </w:r>
      <w:r>
        <w:rPr>
          <w:spacing w:val="-6"/>
          <w:szCs w:val="28"/>
          <w:lang w:val="zh-CN" w:eastAsia="en-US"/>
        </w:rPr>
        <w:t xml:space="preserve"> осуществляет </w:t>
      </w:r>
      <w:r>
        <w:rPr>
          <w:spacing w:val="-6"/>
          <w:szCs w:val="28"/>
          <w:lang w:eastAsia="en-US"/>
        </w:rPr>
        <w:t>Администрация СП Сорум</w:t>
      </w:r>
      <w:r>
        <w:rPr>
          <w:spacing w:val="-6"/>
          <w:szCs w:val="28"/>
          <w:lang w:val="zh-CN" w:eastAsia="en-US"/>
        </w:rPr>
        <w:t xml:space="preserve"> </w:t>
      </w:r>
      <w:r>
        <w:rPr>
          <w:spacing w:val="-6"/>
          <w:szCs w:val="28"/>
          <w:lang w:eastAsia="en-US"/>
        </w:rPr>
        <w:t xml:space="preserve">за счёт средств бюджета </w:t>
      </w:r>
      <w:r>
        <w:rPr>
          <w:spacing w:val="-6"/>
          <w:szCs w:val="28"/>
          <w:lang w:val="zh-CN" w:eastAsia="en-US"/>
        </w:rPr>
        <w:t xml:space="preserve">МО </w:t>
      </w:r>
      <w:r>
        <w:rPr>
          <w:spacing w:val="-6"/>
          <w:szCs w:val="28"/>
          <w:lang w:eastAsia="en-US"/>
        </w:rPr>
        <w:t>Белоярский район ХМАО-Югры.</w:t>
      </w:r>
    </w:p>
    <w:p>
      <w:pPr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val="zh-CN" w:eastAsia="en-US"/>
        </w:rPr>
        <w:t xml:space="preserve">Учет электрической энергии </w:t>
      </w:r>
      <w:r>
        <w:rPr>
          <w:szCs w:val="28"/>
          <w:lang w:eastAsia="en-US"/>
        </w:rPr>
        <w:t xml:space="preserve">в здании Администрации СП Сорум </w:t>
      </w:r>
      <w:r>
        <w:rPr>
          <w:szCs w:val="28"/>
          <w:lang w:val="zh-CN" w:eastAsia="en-US"/>
        </w:rPr>
        <w:t xml:space="preserve">осуществляется </w:t>
      </w:r>
      <w:r>
        <w:rPr>
          <w:szCs w:val="28"/>
          <w:lang w:eastAsia="en-US"/>
        </w:rPr>
        <w:t xml:space="preserve">одним </w:t>
      </w:r>
      <w:r>
        <w:rPr>
          <w:szCs w:val="28"/>
          <w:lang w:val="zh-CN" w:eastAsia="en-US"/>
        </w:rPr>
        <w:t>трехфазным счетчик</w:t>
      </w:r>
      <w:r>
        <w:rPr>
          <w:szCs w:val="28"/>
          <w:lang w:eastAsia="en-US"/>
        </w:rPr>
        <w:t>ом</w:t>
      </w:r>
      <w:r>
        <w:rPr>
          <w:szCs w:val="28"/>
          <w:lang w:val="zh-CN" w:eastAsia="en-US"/>
        </w:rPr>
        <w:t xml:space="preserve"> электрической энергии</w:t>
      </w:r>
      <w:r>
        <w:t xml:space="preserve"> </w:t>
      </w:r>
      <w:r>
        <w:rPr>
          <w:szCs w:val="28"/>
          <w:lang w:eastAsia="en-US"/>
        </w:rPr>
        <w:t>с классом точности 1 по одноставочному тарифу</w:t>
      </w:r>
      <w:r>
        <w:rPr>
          <w:szCs w:val="28"/>
          <w:lang w:val="zh-CN" w:eastAsia="en-US"/>
        </w:rPr>
        <w:t>.</w:t>
      </w:r>
    </w:p>
    <w:p>
      <w:pPr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В таблице 8 представлены потребители электрической энергии. Осветительные лампы в занимаемых помещениях приведены в таблице 9.</w:t>
      </w:r>
    </w:p>
    <w:p>
      <w:pPr>
        <w:keepNext/>
        <w:keepLines/>
        <w:spacing w:line="276" w:lineRule="auto"/>
        <w:rPr>
          <w:szCs w:val="28"/>
          <w:lang w:eastAsia="en-US"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8</w:t>
      </w:r>
      <w:r>
        <w:rPr>
          <w:b/>
          <w:szCs w:val="28"/>
        </w:rPr>
        <w:fldChar w:fldCharType="end"/>
      </w:r>
      <w:r>
        <w:rPr>
          <w:b/>
          <w:szCs w:val="28"/>
        </w:rPr>
        <w:t xml:space="preserve">. </w:t>
      </w:r>
      <w:r>
        <w:rPr>
          <w:b/>
          <w:bCs/>
        </w:rPr>
        <w:t>Потребители электрической энергии</w:t>
      </w:r>
    </w:p>
    <w:tbl>
      <w:tblPr>
        <w:tblStyle w:val="6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2"/>
        <w:gridCol w:w="2229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Мощность, кВт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Количество,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Компьютер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МФУ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Телевизор 62 дюйма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Электрочайник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Холодильник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Печь СВЧ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1</w:t>
            </w:r>
          </w:p>
        </w:tc>
      </w:tr>
    </w:tbl>
    <w:p>
      <w:pPr>
        <w:spacing w:after="160" w:line="259" w:lineRule="auto"/>
        <w:jc w:val="left"/>
        <w:rPr>
          <w:rFonts w:eastAsiaTheme="minorHAnsi"/>
          <w:sz w:val="20"/>
          <w:szCs w:val="20"/>
          <w:lang w:eastAsia="en-US"/>
        </w:rPr>
      </w:pPr>
    </w:p>
    <w:p>
      <w:pPr>
        <w:keepNext/>
        <w:keepLines/>
        <w:spacing w:line="276" w:lineRule="auto"/>
        <w:rPr>
          <w:szCs w:val="28"/>
          <w:lang w:eastAsia="en-US"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9</w:t>
      </w:r>
      <w:r>
        <w:rPr>
          <w:b/>
          <w:szCs w:val="28"/>
        </w:rPr>
        <w:fldChar w:fldCharType="end"/>
      </w:r>
      <w:r>
        <w:rPr>
          <w:b/>
          <w:szCs w:val="28"/>
        </w:rPr>
        <w:t xml:space="preserve">. </w:t>
      </w:r>
      <w:r>
        <w:rPr>
          <w:b/>
          <w:bCs/>
        </w:rPr>
        <w:t xml:space="preserve">Осветительные лампы 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  <w:gridCol w:w="2722"/>
        <w:gridCol w:w="1772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Марка лампы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Мощность лампы, Вт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ламп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светильников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Светодиодная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</w:tr>
    </w:tbl>
    <w:p>
      <w:pPr>
        <w:spacing w:line="276" w:lineRule="auto"/>
        <w:rPr>
          <w:szCs w:val="28"/>
          <w:lang w:eastAsia="en-US"/>
        </w:rPr>
      </w:pPr>
    </w:p>
    <w:p>
      <w:pPr>
        <w:keepNext/>
        <w:keepLines/>
        <w:spacing w:line="276" w:lineRule="auto"/>
        <w:rPr>
          <w:szCs w:val="28"/>
          <w:lang w:eastAsia="en-US"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10</w:t>
      </w:r>
      <w:r>
        <w:rPr>
          <w:b/>
          <w:szCs w:val="28"/>
        </w:rPr>
        <w:fldChar w:fldCharType="end"/>
      </w:r>
      <w:r>
        <w:rPr>
          <w:b/>
          <w:szCs w:val="28"/>
        </w:rPr>
        <w:t>. Уличное освещение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2685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Марка лампы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Мощность лампы, Вт</w:t>
            </w: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Светодиодные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АВТОМАТИЗИРОВАННО УЛ. ОСВЕЩЕНИЕ (ДА, НЕТ)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</w:tr>
    </w:tbl>
    <w:p>
      <w:pPr>
        <w:spacing w:line="276" w:lineRule="auto"/>
        <w:rPr>
          <w:szCs w:val="28"/>
          <w:lang w:eastAsia="en-US"/>
        </w:rPr>
      </w:pPr>
    </w:p>
    <w:p>
      <w:pPr>
        <w:keepNext/>
        <w:keepLines/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Теплоснабжение</w:t>
      </w:r>
    </w:p>
    <w:p>
      <w:pPr>
        <w:pStyle w:val="53"/>
        <w:keepNext/>
        <w:keepLines/>
        <w:spacing w:before="0" w:after="0" w:line="240" w:lineRule="auto"/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Теплоснабжение здания Администрации СП Сорум осуществляет общество с ограниченной ответственностью «Газпром трансгаз Югорск» (ООО «Газпром трансгаз Югорск») по Договору теплоснабжения и горячего водоснабжения от 30.12.2021 № 24-21-3381.</w:t>
      </w:r>
    </w:p>
    <w:p>
      <w:pPr>
        <w:pStyle w:val="53"/>
        <w:spacing w:before="0" w:after="0" w:line="240" w:lineRule="auto"/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Финансовый расчёт за потребление горячей воды производится на основании показаний узла учёта горячей воды. Узел учёта тепловой энергии отсутствует, не требуется.</w:t>
      </w:r>
    </w:p>
    <w:p>
      <w:pPr>
        <w:keepNext/>
        <w:keepLines/>
        <w:widowControl w:val="0"/>
        <w:spacing w:line="24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Оплату услуг теплоснабжения и горячего водоснабжения в занимаемых зданиях Администрации СП Сорум осуществляет администрация СП Сорум за счёт средств бюджета МО Белоярский район ХМАО-Югры.</w:t>
      </w:r>
    </w:p>
    <w:p>
      <w:pPr>
        <w:keepNext/>
        <w:keepLines/>
        <w:widowControl w:val="0"/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Холодное водоснабжение</w:t>
      </w:r>
    </w:p>
    <w:p>
      <w:pPr>
        <w:pStyle w:val="53"/>
        <w:suppressAutoHyphens w:val="0"/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Холодное водоснабжение здания Администрации СП Сорум осуществляет акционерное общество «ЮКЭК-Белоярский» (АО «ЮКЭК-Белоярский») по Договору холодного водоснабжения от 01.01.2022 № 006862.100/701 В.</w:t>
      </w:r>
    </w:p>
    <w:p>
      <w:pPr>
        <w:pStyle w:val="53"/>
        <w:spacing w:before="0" w:after="0" w:line="240" w:lineRule="auto"/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Финансовый расчёт за потребление тепловой энергии производится на основании показаний узла учёта.</w:t>
      </w:r>
    </w:p>
    <w:p>
      <w:pPr>
        <w:pStyle w:val="53"/>
        <w:suppressAutoHyphens w:val="0"/>
        <w:spacing w:before="0" w:after="0" w:line="240" w:lineRule="auto"/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Оплату услуги холодного водоснабжения в здании Администрации СП Сорум осуществляет администрация СП Сорум за счёт средств бюджета МО Белоярский район ХМАО-Югры.</w:t>
      </w:r>
    </w:p>
    <w:p>
      <w:pPr>
        <w:pStyle w:val="53"/>
        <w:suppressAutoHyphens w:val="0"/>
        <w:spacing w:before="0" w:after="0" w:line="240" w:lineRule="auto"/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Водоснабжение для хозяйственно-бытовых нужд осуществляется централизованно.</w:t>
      </w:r>
    </w:p>
    <w:p>
      <w:pPr>
        <w:pStyle w:val="53"/>
        <w:suppressAutoHyphens w:val="0"/>
        <w:spacing w:before="0" w:after="0"/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по водоразборной арматуре приведены в таблице 11.</w:t>
      </w:r>
    </w:p>
    <w:p>
      <w:pPr>
        <w:keepNext/>
        <w:keepLines/>
        <w:spacing w:line="276" w:lineRule="auto"/>
        <w:rPr>
          <w:b/>
          <w:bCs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11</w:t>
      </w:r>
      <w:r>
        <w:rPr>
          <w:b/>
          <w:szCs w:val="28"/>
        </w:rPr>
        <w:fldChar w:fldCharType="end"/>
      </w:r>
      <w:r>
        <w:rPr>
          <w:b/>
          <w:szCs w:val="28"/>
        </w:rPr>
        <w:t xml:space="preserve">. </w:t>
      </w:r>
      <w:r>
        <w:rPr>
          <w:b/>
          <w:bCs/>
        </w:rPr>
        <w:t>Данные по водоразборной арматуре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7"/>
        <w:gridCol w:w="397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Вид сантехнического прибора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Смесители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Нового (однорукие).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Сливные бачки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 верхним сливом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>
      <w:pPr>
        <w:widowControl w:val="0"/>
        <w:spacing w:line="360" w:lineRule="auto"/>
        <w:ind w:firstLine="709"/>
        <w:rPr>
          <w:szCs w:val="28"/>
        </w:rPr>
      </w:pPr>
    </w:p>
    <w:p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Основными проблемами, приводящими к нерациональному использованию энергетических ресурсов, являются:</w:t>
      </w:r>
    </w:p>
    <w:p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отсутствие системы контроля над рациональным расходованием энергии и воды.</w:t>
      </w:r>
    </w:p>
    <w:p>
      <w:pPr>
        <w:pStyle w:val="2"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="100" w:after="100"/>
        <w:ind w:left="992" w:hanging="425"/>
        <w:jc w:val="both"/>
      </w:pPr>
      <w:bookmarkStart w:id="2" w:name="_Toc118789913"/>
      <w:r>
        <w:t xml:space="preserve">Цели и задачи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</w:t>
      </w:r>
      <w:bookmarkEnd w:id="2"/>
    </w:p>
    <w:p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Основными целями </w:t>
      </w:r>
      <w:r>
        <w:rPr>
          <w:szCs w:val="28"/>
          <w:lang w:val="ru-RU"/>
        </w:rPr>
        <w:t>муниципальной</w:t>
      </w:r>
      <w:r>
        <w:rPr>
          <w:rFonts w:hint="default"/>
          <w:szCs w:val="28"/>
          <w:lang w:val="ru-RU"/>
        </w:rPr>
        <w:t xml:space="preserve"> п</w:t>
      </w:r>
      <w:r>
        <w:rPr>
          <w:szCs w:val="28"/>
        </w:rPr>
        <w:t>рограммы являются:</w:t>
      </w:r>
    </w:p>
    <w:p>
      <w:pPr>
        <w:tabs>
          <w:tab w:val="left" w:pos="993"/>
        </w:tabs>
        <w:spacing w:line="24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Получение объективных данных об объеме потребления энергетических ресурсов;</w:t>
      </w:r>
    </w:p>
    <w:p>
      <w:pPr>
        <w:tabs>
          <w:tab w:val="left" w:pos="993"/>
        </w:tabs>
        <w:spacing w:line="24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Получение объективных данных о состоянии оборудования, сетей, зданий;</w:t>
      </w:r>
    </w:p>
    <w:p>
      <w:pPr>
        <w:tabs>
          <w:tab w:val="left" w:pos="993"/>
        </w:tabs>
        <w:spacing w:line="24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</w:r>
    </w:p>
    <w:p>
      <w:pPr>
        <w:tabs>
          <w:tab w:val="left" w:pos="993"/>
        </w:tabs>
        <w:spacing w:line="24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Определение показателей энергетической эффективности;</w:t>
      </w:r>
    </w:p>
    <w:p>
      <w:pPr>
        <w:tabs>
          <w:tab w:val="left" w:pos="993"/>
        </w:tabs>
        <w:spacing w:line="24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Определение потенциала энергосбережения и нерациональных потерь топливно-энергетических ресурсов;</w:t>
      </w:r>
    </w:p>
    <w:p>
      <w:pPr>
        <w:tabs>
          <w:tab w:val="left" w:pos="993"/>
        </w:tabs>
        <w:spacing w:line="24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энергоресурсов;</w:t>
      </w:r>
    </w:p>
    <w:p>
      <w:pPr>
        <w:tabs>
          <w:tab w:val="left" w:pos="993"/>
        </w:tabs>
        <w:spacing w:line="240" w:lineRule="auto"/>
        <w:ind w:firstLine="709"/>
        <w:rPr>
          <w:szCs w:val="28"/>
        </w:rPr>
      </w:pPr>
    </w:p>
    <w:p>
      <w:pPr>
        <w:tabs>
          <w:tab w:val="left" w:pos="99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 основным задачам </w:t>
      </w:r>
      <w:r>
        <w:rPr>
          <w:szCs w:val="28"/>
          <w:lang w:val="ru-RU"/>
        </w:rPr>
        <w:t>муниципальной</w:t>
      </w:r>
      <w:r>
        <w:rPr>
          <w:rFonts w:hint="default"/>
          <w:szCs w:val="28"/>
          <w:lang w:val="ru-RU"/>
        </w:rPr>
        <w:t xml:space="preserve"> п</w:t>
      </w:r>
      <w:r>
        <w:rPr>
          <w:szCs w:val="28"/>
        </w:rPr>
        <w:t>рограммы следует отнести следующее:</w:t>
      </w:r>
    </w:p>
    <w:p>
      <w:pPr>
        <w:tabs>
          <w:tab w:val="left" w:pos="993"/>
        </w:tabs>
        <w:spacing w:line="24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>
      <w:pPr>
        <w:tabs>
          <w:tab w:val="left" w:pos="993"/>
        </w:tabs>
        <w:spacing w:line="24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оснащение современными приборами учёта системы электроснабжения;</w:t>
      </w:r>
    </w:p>
    <w:p>
      <w:pPr>
        <w:tabs>
          <w:tab w:val="left" w:pos="993"/>
        </w:tabs>
        <w:spacing w:line="24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повышение эффективности системы теплоснабжения;</w:t>
      </w:r>
    </w:p>
    <w:p>
      <w:pPr>
        <w:tabs>
          <w:tab w:val="left" w:pos="993"/>
        </w:tabs>
        <w:spacing w:line="24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повышение эффективности системы электроснабжения;</w:t>
      </w:r>
    </w:p>
    <w:p>
      <w:pPr>
        <w:tabs>
          <w:tab w:val="left" w:pos="993"/>
        </w:tabs>
        <w:spacing w:line="24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повышение эффективности системы водоснабжения и водоотведения.</w:t>
      </w:r>
    </w:p>
    <w:p>
      <w:pPr>
        <w:pStyle w:val="2"/>
        <w:keepNext/>
        <w:keepLines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="100" w:after="100"/>
        <w:ind w:left="992" w:hanging="425"/>
        <w:jc w:val="both"/>
      </w:pPr>
      <w:bookmarkStart w:id="3" w:name="_Toc118789914"/>
      <w:r>
        <w:t xml:space="preserve">Сроки и этапы реализации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</w:t>
      </w:r>
      <w:bookmarkEnd w:id="3"/>
    </w:p>
    <w:p>
      <w:pPr>
        <w:spacing w:line="240" w:lineRule="auto"/>
        <w:ind w:firstLine="709"/>
      </w:pPr>
      <w:r>
        <w:t xml:space="preserve">На момент разработки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рограммы, по данным, предоставленным Администрацией СП Сорум в отношении ресурсопотребления, здание является энергоэффективным.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>
      <w:pPr>
        <w:spacing w:line="240" w:lineRule="auto"/>
        <w:ind w:firstLine="709"/>
      </w:pPr>
      <w:r>
        <w:rPr>
          <w:lang w:val="ru-RU"/>
        </w:rPr>
        <w:t>Муниципальная</w:t>
      </w:r>
      <w:r>
        <w:rPr>
          <w:rFonts w:hint="default"/>
          <w:lang w:val="ru-RU"/>
        </w:rPr>
        <w:t xml:space="preserve"> п</w:t>
      </w:r>
      <w:r>
        <w:t>рограмма рассчитана на 3 года – 2023-2025 годы – и включает в себя следующие мероприятия:</w:t>
      </w:r>
    </w:p>
    <w:p>
      <w:pPr>
        <w:keepNext/>
        <w:keepLines/>
        <w:spacing w:line="360" w:lineRule="auto"/>
        <w:ind w:firstLine="709"/>
        <w:rPr>
          <w:b/>
          <w:bCs/>
        </w:rPr>
      </w:pPr>
      <w:r>
        <w:rPr>
          <w:b/>
          <w:bCs/>
        </w:rPr>
        <w:t>Организационные (постоянно):</w:t>
      </w:r>
    </w:p>
    <w:p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разработка и внедрение системы рекомендаций, стимулирующих энергосбережение;</w:t>
      </w:r>
    </w:p>
    <w:p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разработка и ведение форм наблюдения за показателями, характеризующими эффективность использования основных видов энергетических ресурсов. Проведение на основе данных показателей ежемесячного анализа эффективности использования основных видов энергетических ресурсов и внесение предложений по снижению их потребления;</w:t>
      </w:r>
    </w:p>
    <w:p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введение практики применения требований по ресурсо- и энергосбережению при согласовании проектов капитального ремонта;</w:t>
      </w:r>
    </w:p>
    <w:p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</w:pPr>
      <w:r>
        <w:t>проведение конкурсов на право заключения договоров, направленных на рациональное использование энергоресурсов (энергосервисные контракты);</w:t>
      </w:r>
    </w:p>
    <w:p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учет показателей энергоэффективности серийно производимого оборудования при закупках для нужд учреждения;</w:t>
      </w:r>
    </w:p>
    <w:p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включение в программы по повышению квалификации персонала учебных курсов по основам эффективного использования энергетических ресурсов;</w:t>
      </w:r>
    </w:p>
    <w:p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разработка и проведение мероприятий, обеспечивающих распространение информации об установленных законодательством требованиях об энергосбережении и повышении энергетической эффективности, пропаганду реализации мер, направленных на энергосбережение (создание и ведение агитационных стендов типа «Уходя гасите свет» и т.п.);</w:t>
      </w:r>
    </w:p>
    <w:p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участие персонала учреждения в научно-практических конференциях и семинарах по энергосбережению.</w:t>
      </w:r>
    </w:p>
    <w:p>
      <w:pPr>
        <w:widowControl w:val="0"/>
        <w:tabs>
          <w:tab w:val="left" w:pos="993"/>
        </w:tabs>
        <w:spacing w:line="360" w:lineRule="auto"/>
        <w:ind w:firstLine="709"/>
        <w:rPr>
          <w:szCs w:val="28"/>
        </w:rPr>
      </w:pPr>
    </w:p>
    <w:p>
      <w:pPr>
        <w:widowControl w:val="0"/>
        <w:spacing w:line="360" w:lineRule="auto"/>
        <w:ind w:firstLine="709"/>
        <w:rPr>
          <w:szCs w:val="28"/>
        </w:rPr>
      </w:pPr>
    </w:p>
    <w:p>
      <w:pPr>
        <w:pStyle w:val="2"/>
        <w:pageBreakBefore/>
        <w:widowControl w:val="0"/>
        <w:numPr>
          <w:ilvl w:val="1"/>
          <w:numId w:val="3"/>
        </w:numPr>
        <w:tabs>
          <w:tab w:val="left" w:pos="993"/>
          <w:tab w:val="clear" w:pos="1440"/>
        </w:tabs>
        <w:spacing w:beforeAutospacing="0" w:afterAutospacing="0" w:line="360" w:lineRule="auto"/>
        <w:ind w:left="992" w:hanging="425"/>
        <w:jc w:val="both"/>
      </w:pPr>
      <w:bookmarkStart w:id="4" w:name="_Toc118789915"/>
      <w:r>
        <w:t>Мероприятия по энергосбережению и повышению энергетической эффективности</w:t>
      </w:r>
      <w:bookmarkEnd w:id="4"/>
    </w:p>
    <w:p>
      <w:pPr>
        <w:widowControl w:val="0"/>
        <w:spacing w:line="360" w:lineRule="auto"/>
        <w:ind w:firstLine="709"/>
      </w:pPr>
      <w:r>
        <w:t xml:space="preserve">На момент разработки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 xml:space="preserve">рограммы, по данным, предоставленным Администрацией СП Сорум в отношении ресурсопотребления, здание является энергоэффективным. В связи с этим, в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>
      <w:pPr>
        <w:widowControl w:val="0"/>
        <w:spacing w:line="360" w:lineRule="auto"/>
        <w:ind w:firstLine="709"/>
      </w:pPr>
    </w:p>
    <w:p>
      <w:pPr>
        <w:rPr>
          <w:szCs w:val="28"/>
          <w:vertAlign w:val="subscript"/>
        </w:rPr>
        <w:sectPr>
          <w:pgSz w:w="11906" w:h="16838"/>
          <w:pgMar w:top="709" w:right="851" w:bottom="1134" w:left="1276" w:header="284" w:footer="567" w:gutter="0"/>
          <w:cols w:space="708" w:num="1"/>
          <w:titlePg/>
          <w:docGrid w:linePitch="381" w:charSpace="0"/>
        </w:sectPr>
      </w:pPr>
    </w:p>
    <w:p>
      <w:pPr>
        <w:pStyle w:val="2"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Autospacing="0" w:afterAutospacing="0" w:line="360" w:lineRule="auto"/>
        <w:ind w:left="992" w:hanging="425"/>
        <w:jc w:val="both"/>
      </w:pPr>
      <w:bookmarkStart w:id="5" w:name="_Toc118789916"/>
      <w:r>
        <w:t>Целевые показатели в области энергосбережения и повышения энергетической эффективности</w:t>
      </w:r>
      <w:bookmarkEnd w:id="5"/>
    </w:p>
    <w:p>
      <w:pPr>
        <w:rPr>
          <w:b/>
        </w:rPr>
      </w:pPr>
      <w:r>
        <w:rPr>
          <w:b/>
        </w:rPr>
        <w:t xml:space="preserve">Таблица </w:t>
      </w:r>
      <w:r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>
        <w:rPr>
          <w:b/>
        </w:rPr>
        <w:fldChar w:fldCharType="separate"/>
      </w:r>
      <w:r>
        <w:rPr>
          <w:b/>
        </w:rPr>
        <w:t>12</w:t>
      </w:r>
      <w:r>
        <w:rPr>
          <w:b/>
        </w:rPr>
        <w:fldChar w:fldCharType="end"/>
      </w:r>
      <w:r>
        <w:rPr>
          <w:b/>
        </w:rPr>
        <w:t>. Целевые показатели в области энергосбережения и повышения энергетической эффективности</w:t>
      </w:r>
    </w:p>
    <w:tbl>
      <w:tblPr>
        <w:tblStyle w:val="9"/>
        <w:tblW w:w="500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2864"/>
        <w:gridCol w:w="2239"/>
        <w:gridCol w:w="2148"/>
        <w:gridCol w:w="2148"/>
        <w:gridCol w:w="2619"/>
        <w:gridCol w:w="2945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8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22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высокой эффективности (справочно)</w:t>
            </w:r>
          </w:p>
        </w:tc>
        <w:tc>
          <w:tcPr>
            <w:tcW w:w="2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Потенциал снижения потребления </w:t>
            </w:r>
          </w:p>
        </w:tc>
        <w:tc>
          <w:tcPr>
            <w:tcW w:w="2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26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уровень снижения за первый год</w:t>
            </w:r>
          </w:p>
        </w:tc>
        <w:tc>
          <w:tcPr>
            <w:tcW w:w="29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уровень снижения за первый и второй год</w:t>
            </w:r>
          </w:p>
        </w:tc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уровень снижения за трехлетний период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тепловой энергии на отопление и вентиляцию, Вт×ч/м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5,58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горячей воды,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  <w:bookmarkStart w:id="10" w:name="_GoBack"/>
            <w:bookmarkEnd w:id="10"/>
            <w:r>
              <w:rPr>
                <w:color w:val="000000"/>
                <w:sz w:val="20"/>
                <w:szCs w:val="20"/>
              </w:rPr>
              <w:t>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холодной воды,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4,17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электрической энергии, кВт×ч/м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природного газа,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твердого топлива на нужды отопления и вентиляции, Вт×ч/м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иного энергетического ресурса на  нужды отопления и вентиляции, Вт×ч/м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моторного топлива, тут/л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**6%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0,00001</w:t>
            </w:r>
          </w:p>
        </w:tc>
      </w:tr>
    </w:tbl>
    <w:p/>
    <w:p>
      <w:r>
        <w:t>*неприменимо – невозможно рассчитать для данного типа учреждения</w:t>
      </w:r>
    </w:p>
    <w:p>
      <w:r>
        <w:t>**обязательное требование к программам энергосбережения. Мероприятия по снижению расходов моторного топлива автомобилем не приводятся, так как потребление топлива равно нормативному для данного вида автотранспорта.</w:t>
      </w:r>
    </w:p>
    <w:p/>
    <w:p>
      <w:pPr>
        <w:pStyle w:val="2"/>
        <w:spacing w:beforeAutospacing="0" w:afterAutospacing="0" w:line="360" w:lineRule="auto"/>
        <w:jc w:val="both"/>
        <w:rPr>
          <w:b w:val="0"/>
        </w:rPr>
        <w:sectPr>
          <w:footerReference r:id="rId6" w:type="first"/>
          <w:footerReference r:id="rId5" w:type="default"/>
          <w:pgSz w:w="23811" w:h="16838" w:orient="landscape"/>
          <w:pgMar w:top="1701" w:right="1134" w:bottom="850" w:left="1134" w:header="709" w:footer="284" w:gutter="0"/>
          <w:cols w:space="708" w:num="1"/>
          <w:titlePg/>
          <w:docGrid w:linePitch="381" w:charSpace="0"/>
        </w:sectPr>
      </w:pPr>
    </w:p>
    <w:p>
      <w:pPr>
        <w:pStyle w:val="2"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Autospacing="0" w:afterAutospacing="0" w:line="360" w:lineRule="auto"/>
        <w:ind w:left="992" w:hanging="425"/>
        <w:jc w:val="both"/>
      </w:pPr>
      <w:bookmarkStart w:id="6" w:name="_Toc118789917"/>
      <w:r>
        <w:t>Объём и источники финансирования</w:t>
      </w:r>
      <w:bookmarkEnd w:id="6"/>
    </w:p>
    <w:p>
      <w:pPr>
        <w:spacing w:line="360" w:lineRule="auto"/>
        <w:ind w:firstLine="709"/>
      </w:pPr>
      <w:r>
        <w:t xml:space="preserve">На момент разработки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 xml:space="preserve">рограммы, по данным, предоставленным Администрацией СП Сорум в отношении ресурсопотребления, здание является энергоэффективным. В связи с этим, в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>
      <w:pPr>
        <w:spacing w:line="360" w:lineRule="auto"/>
        <w:ind w:firstLine="709"/>
      </w:pPr>
    </w:p>
    <w:p>
      <w:pPr>
        <w:pStyle w:val="2"/>
        <w:pageBreakBefore/>
        <w:numPr>
          <w:ilvl w:val="1"/>
          <w:numId w:val="3"/>
        </w:numPr>
        <w:tabs>
          <w:tab w:val="left" w:pos="709"/>
          <w:tab w:val="clear" w:pos="1440"/>
        </w:tabs>
        <w:spacing w:beforeAutospacing="0" w:afterAutospacing="0" w:line="360" w:lineRule="auto"/>
        <w:ind w:left="0" w:firstLine="709"/>
        <w:jc w:val="both"/>
      </w:pPr>
      <w:bookmarkStart w:id="7" w:name="_Toc118789918"/>
      <w:r>
        <w:t xml:space="preserve">Ожидаемые результаты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</w:t>
      </w:r>
      <w:bookmarkEnd w:id="7"/>
    </w:p>
    <w:p>
      <w:pPr>
        <w:widowControl w:val="0"/>
        <w:tabs>
          <w:tab w:val="left" w:pos="709"/>
          <w:tab w:val="left" w:pos="1620"/>
        </w:tabs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На момент разработки </w:t>
      </w:r>
      <w:r>
        <w:rPr>
          <w:bCs/>
          <w:szCs w:val="28"/>
          <w:lang w:val="ru-RU"/>
        </w:rPr>
        <w:t>муниципальной</w:t>
      </w:r>
      <w:r>
        <w:rPr>
          <w:rFonts w:hint="default"/>
          <w:bCs/>
          <w:szCs w:val="28"/>
          <w:lang w:val="ru-RU"/>
        </w:rPr>
        <w:t xml:space="preserve"> п</w:t>
      </w:r>
      <w:r>
        <w:rPr>
          <w:bCs/>
          <w:szCs w:val="28"/>
        </w:rPr>
        <w:t xml:space="preserve">рограммы, по данным, предоставленным Администрацией СП Сорум в отношении ресурсопотребления, здание является энергоэффективным. В связи с этим, в </w:t>
      </w:r>
      <w:r>
        <w:rPr>
          <w:bCs/>
          <w:szCs w:val="28"/>
          <w:lang w:val="ru-RU"/>
        </w:rPr>
        <w:t>муниципальной</w:t>
      </w:r>
      <w:r>
        <w:rPr>
          <w:rFonts w:hint="default"/>
          <w:bCs/>
          <w:szCs w:val="28"/>
          <w:lang w:val="ru-RU"/>
        </w:rPr>
        <w:t xml:space="preserve"> п</w:t>
      </w:r>
      <w:r>
        <w:rPr>
          <w:bCs/>
          <w:szCs w:val="28"/>
        </w:rPr>
        <w:t>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>
      <w:pPr>
        <w:widowControl w:val="0"/>
        <w:tabs>
          <w:tab w:val="left" w:pos="709"/>
          <w:tab w:val="left" w:pos="1620"/>
        </w:tabs>
        <w:spacing w:line="360" w:lineRule="auto"/>
        <w:ind w:firstLine="709"/>
        <w:rPr>
          <w:szCs w:val="28"/>
        </w:rPr>
      </w:pPr>
    </w:p>
    <w:p>
      <w:pPr>
        <w:keepNext/>
        <w:keepLines/>
        <w:ind w:firstLine="567"/>
        <w:sectPr>
          <w:pgSz w:w="11906" w:h="16838"/>
          <w:pgMar w:top="1134" w:right="851" w:bottom="1134" w:left="1418" w:header="284" w:footer="567" w:gutter="0"/>
          <w:cols w:space="708" w:num="1"/>
          <w:titlePg/>
          <w:docGrid w:linePitch="381" w:charSpace="0"/>
        </w:sectPr>
      </w:pPr>
    </w:p>
    <w:p>
      <w:pPr>
        <w:spacing w:line="276" w:lineRule="auto"/>
        <w:rPr>
          <w:b/>
        </w:rPr>
      </w:pPr>
      <w:r>
        <w:rPr>
          <w:b/>
        </w:rPr>
        <w:t xml:space="preserve">Таблица </w:t>
      </w:r>
      <w:r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>
        <w:rPr>
          <w:b/>
        </w:rPr>
        <w:fldChar w:fldCharType="separate"/>
      </w:r>
      <w:r>
        <w:rPr>
          <w:b/>
        </w:rPr>
        <w:t>13</w:t>
      </w:r>
      <w:r>
        <w:rPr>
          <w:b/>
        </w:rPr>
        <w:fldChar w:fldCharType="end"/>
      </w:r>
      <w:r>
        <w:rPr>
          <w:b/>
        </w:rPr>
        <w:t>. Прогноз потребления электрической энергии на последующие годы (кВт×ч)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935"/>
        <w:gridCol w:w="1926"/>
        <w:gridCol w:w="2062"/>
        <w:gridCol w:w="199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tblHeader/>
        </w:trPr>
        <w:tc>
          <w:tcPr>
            <w:tcW w:w="7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91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59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92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8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Собственный источник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Технологический расход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 на собственные нужды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Субабоненты (сторонние потребители)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(отчетные)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Технологические потери всего, в том числе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условно-постоянные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нагрузочные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Нерациональные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</w:tr>
    </w:tbl>
    <w:p>
      <w:pPr>
        <w:tabs>
          <w:tab w:val="left" w:pos="12105"/>
        </w:tabs>
        <w:rPr>
          <w:szCs w:val="28"/>
        </w:rPr>
      </w:pPr>
    </w:p>
    <w:p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>
        <w:rPr>
          <w:b/>
        </w:rPr>
        <w:t xml:space="preserve">Таблица </w:t>
      </w:r>
      <w:r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>
        <w:rPr>
          <w:b/>
        </w:rPr>
        <w:fldChar w:fldCharType="separate"/>
      </w:r>
      <w:r>
        <w:rPr>
          <w:b/>
        </w:rPr>
        <w:t>14</w:t>
      </w:r>
      <w:r>
        <w:rPr>
          <w:b/>
        </w:rPr>
        <w:fldChar w:fldCharType="end"/>
      </w:r>
      <w:r>
        <w:rPr>
          <w:b/>
        </w:rPr>
        <w:t>. Прогноз потребления тепловой энергии на последующие годы (в Гкал)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9221"/>
        <w:gridCol w:w="1246"/>
        <w:gridCol w:w="1232"/>
        <w:gridCol w:w="116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6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1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353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603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957" w:type="dxa"/>
            <w:gridSpan w:val="5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Собственная котельная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957" w:type="dxa"/>
            <w:gridSpan w:val="5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Технологические расходы всего, в том числе: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Пара, из них контактным (острым) способом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 и вентиляция, в том числе калориферы воздушные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Сторонние потребители (субабоненты)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</w:tr>
    </w:tbl>
    <w:p>
      <w:pPr>
        <w:rPr>
          <w:highlight w:val="yellow"/>
          <w:lang w:eastAsia="en-US"/>
        </w:rPr>
      </w:pPr>
    </w:p>
    <w:p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>
        <w:rPr>
          <w:b/>
        </w:rPr>
        <w:t xml:space="preserve">Таблица </w:t>
      </w:r>
      <w:r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>
        <w:rPr>
          <w:b/>
        </w:rPr>
        <w:fldChar w:fldCharType="separate"/>
      </w:r>
      <w:r>
        <w:rPr>
          <w:b/>
        </w:rPr>
        <w:t>15</w:t>
      </w:r>
      <w:r>
        <w:rPr>
          <w:b/>
        </w:rPr>
        <w:fldChar w:fldCharType="end"/>
      </w:r>
      <w:r>
        <w:rPr>
          <w:b/>
        </w:rPr>
        <w:t>. Прогноз потребления холодной воды на последующие годы (в м. куб.)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4"/>
        <w:gridCol w:w="9218"/>
        <w:gridCol w:w="1355"/>
        <w:gridCol w:w="1355"/>
        <w:gridCol w:w="97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</w:trPr>
        <w:tc>
          <w:tcPr>
            <w:tcW w:w="641" w:type="dxa"/>
            <w:vMerge w:val="restart"/>
            <w:vAlign w:val="center"/>
          </w:tcPr>
          <w:p>
            <w:pPr>
              <w:ind w:lef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176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 2021 года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 на 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66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79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19" w:type="dxa"/>
            <w:gridSpan w:val="5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176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34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6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07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176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Собственное производство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34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6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07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19" w:type="dxa"/>
            <w:gridSpan w:val="5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9176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 на собственные нужды, всего в том числе: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34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6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07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917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(технологический) расход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9176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хозяйственно-питьевые нужды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34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6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07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9176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Субабоненты (сторонние потребители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176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34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6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07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9176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Нерациональные потери в системах водоснабжения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34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6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07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</w:tr>
    </w:tbl>
    <w:p>
      <w:pPr>
        <w:rPr>
          <w:highlight w:val="yellow"/>
          <w:lang w:eastAsia="en-US"/>
        </w:rPr>
      </w:pPr>
    </w:p>
    <w:p>
      <w:pPr>
        <w:rPr>
          <w:highlight w:val="yellow"/>
          <w:lang w:eastAsia="en-US"/>
        </w:rPr>
      </w:pPr>
    </w:p>
    <w:p>
      <w:pPr>
        <w:rPr>
          <w:highlight w:val="yellow"/>
          <w:lang w:eastAsia="en-US"/>
        </w:rPr>
      </w:pPr>
    </w:p>
    <w:p>
      <w:pPr>
        <w:rPr>
          <w:highlight w:val="yellow"/>
          <w:lang w:eastAsia="en-US"/>
        </w:rPr>
        <w:sectPr>
          <w:footerReference r:id="rId7" w:type="first"/>
          <w:pgSz w:w="16838" w:h="11906" w:orient="landscape"/>
          <w:pgMar w:top="1418" w:right="1134" w:bottom="1134" w:left="1134" w:header="709" w:footer="232" w:gutter="0"/>
          <w:cols w:space="708" w:num="1"/>
          <w:titlePg/>
          <w:docGrid w:linePitch="360" w:charSpace="0"/>
        </w:sectPr>
      </w:pPr>
    </w:p>
    <w:p>
      <w:pPr>
        <w:pStyle w:val="2"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Autospacing="0" w:afterAutospacing="0" w:line="360" w:lineRule="auto"/>
        <w:ind w:left="992" w:hanging="425"/>
        <w:jc w:val="both"/>
      </w:pPr>
      <w:bookmarkStart w:id="8" w:name="_Toc118789919"/>
      <w:r>
        <w:t>Механизм реализации</w:t>
      </w:r>
      <w:r>
        <w:rPr>
          <w:rFonts w:hint="default"/>
          <w:lang w:val="ru-RU"/>
        </w:rPr>
        <w:t xml:space="preserve"> муниципальной п</w:t>
      </w:r>
      <w:r>
        <w:t>рограммы</w:t>
      </w:r>
      <w:bookmarkEnd w:id="8"/>
    </w:p>
    <w:p>
      <w:pPr>
        <w:spacing w:line="240" w:lineRule="auto"/>
        <w:ind w:firstLine="709"/>
      </w:pPr>
      <w:r>
        <w:t>При реализации программных мероприятий в учреждении руководитель, с учетом содержащихся в настоящем разделе рекомендаций и специфики деятельности учреждения,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в учреждении.</w:t>
      </w:r>
    </w:p>
    <w:p>
      <w:pPr>
        <w:spacing w:line="240" w:lineRule="auto"/>
        <w:ind w:firstLine="709"/>
      </w:pPr>
      <w:r>
        <w:t xml:space="preserve">Заказчик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 организует размещение информации о ходе реализации и результатах программных мероприятий на официальном сайте в сети Интернет.</w:t>
      </w:r>
    </w:p>
    <w:p>
      <w:pPr>
        <w:spacing w:line="240" w:lineRule="auto"/>
        <w:ind w:firstLine="709"/>
      </w:pPr>
      <w:r>
        <w:t xml:space="preserve">Обязанности по выполнению энергосберегающих мероприятий, учету, контролю над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>
      <w:pPr>
        <w:spacing w:line="240" w:lineRule="auto"/>
        <w:ind w:firstLine="709"/>
      </w:pPr>
      <w:r>
        <w:t xml:space="preserve">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показателей энергоэффективности, а также несёт ответственность за достижение утвержденных показателей, позволяющих оценить ход реализации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рограммы.</w:t>
      </w:r>
    </w:p>
    <w:p>
      <w:pPr>
        <w:spacing w:line="240" w:lineRule="auto"/>
        <w:ind w:firstLine="709"/>
      </w:pPr>
      <w:r>
        <w:t xml:space="preserve">Управление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>
      <w:pPr>
        <w:spacing w:line="240" w:lineRule="auto"/>
        <w:ind w:firstLine="709"/>
      </w:pPr>
      <w:r>
        <w:t>Финансирование программных мероприятий осуществляется непосредственно заказчиком из средств, предусмотренных на реализацию программных мероприятий по энергосбережению.</w:t>
      </w:r>
    </w:p>
    <w:p>
      <w:pPr>
        <w:spacing w:line="240" w:lineRule="auto"/>
        <w:ind w:firstLine="709"/>
      </w:pPr>
      <w:r>
        <w:t xml:space="preserve">Порядок финансирования программных мероприятий устанавливает руководитель учреждения. Отбор исполнителей для выполнения работ по реализации программных мероприятий производится заказчиками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 в установленном для размещения государственных заказов порядке.</w:t>
      </w:r>
    </w:p>
    <w:p>
      <w:pPr>
        <w:spacing w:line="240" w:lineRule="auto"/>
        <w:ind w:firstLine="709"/>
      </w:pPr>
      <w:r>
        <w:t>Размещение заказов на поставки товаров, выполнение работ, оказание услуг для нужд учреждения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>
      <w:pPr>
        <w:spacing w:line="240" w:lineRule="auto"/>
        <w:ind w:firstLine="709"/>
      </w:pPr>
      <w:r>
        <w:t xml:space="preserve">Заказчик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 1 раз в полгода, до 30 числа месяца, следующего за полугодием, рассматривает ход реализации программных мероприятий. По итогам работы в срок до 30 числа месяца, следующего за полугодием, составляется отчет установленной формы.</w:t>
      </w:r>
    </w:p>
    <w:p>
      <w:pPr>
        <w:spacing w:line="240" w:lineRule="auto"/>
        <w:ind w:firstLine="709"/>
      </w:pPr>
      <w:r>
        <w:t xml:space="preserve">Функции по управлению энергосберегающими мероприятиями в отрасли должны быть установлены в течение трех месяцев с момента начала реализации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рограммы.</w:t>
      </w:r>
    </w:p>
    <w:p>
      <w:pPr>
        <w:spacing w:line="240" w:lineRule="auto"/>
        <w:ind w:firstLine="709"/>
      </w:pPr>
      <w:r>
        <w:t xml:space="preserve">Заказчик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 подготавливает:</w:t>
      </w:r>
    </w:p>
    <w:p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</w:pPr>
      <w:r>
        <w:t>информацию о реализации программных мероприятий;</w:t>
      </w:r>
    </w:p>
    <w:p>
      <w:pPr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</w:pPr>
      <w:r>
        <w:t>ежегодные доклады о ходе реализации программных мероприятий и эффективности использования финансовых средств.</w:t>
      </w:r>
    </w:p>
    <w:p>
      <w:pPr>
        <w:spacing w:line="240" w:lineRule="auto"/>
        <w:ind w:firstLine="709"/>
      </w:pPr>
      <w:r>
        <w:t>Ежегодные доклады должны содержать:</w:t>
      </w:r>
    </w:p>
    <w:p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</w:pPr>
      <w:r>
        <w:t>сведения о результатах реализации программных мероприятий за отчетный год;</w:t>
      </w:r>
    </w:p>
    <w:p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</w:pPr>
      <w:r>
        <w:t>данные о целевом использовании и объемах привлеченных средств;</w:t>
      </w:r>
    </w:p>
    <w:p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</w:pPr>
      <w:r>
        <w:t>сведения о соответствии фактических показателей реализации</w:t>
      </w:r>
      <w:r>
        <w:rPr>
          <w:rFonts w:hint="default"/>
          <w:lang w:val="ru-RU"/>
        </w:rPr>
        <w:t xml:space="preserve"> муниципальной п</w:t>
      </w:r>
      <w:r>
        <w:t>рограммы утвержденным показателям;</w:t>
      </w:r>
    </w:p>
    <w:p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</w:pPr>
      <w:r>
        <w:t>информацию о ходе и полноте выполнения программных мероприятий;</w:t>
      </w:r>
    </w:p>
    <w:p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</w:pPr>
      <w:r>
        <w:t>сведения о наличии, объемах и состоянии незавершенных мероприятий;</w:t>
      </w:r>
    </w:p>
    <w:p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</w:pPr>
      <w:r>
        <w:t xml:space="preserve">оценку эффективности результатов реализации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рограммы;</w:t>
      </w:r>
    </w:p>
    <w:p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t>оценку влияния фактических результатов реализации программных мероприятий.</w:t>
      </w:r>
    </w:p>
    <w:p>
      <w:pPr>
        <w:pStyle w:val="2"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Autospacing="0" w:afterAutospacing="0" w:line="360" w:lineRule="auto"/>
        <w:ind w:left="992" w:hanging="425"/>
        <w:jc w:val="both"/>
      </w:pPr>
      <w:bookmarkStart w:id="9" w:name="_Toc118789920"/>
      <w:r>
        <w:t xml:space="preserve">Система мониторинга, управления и контроля над ходом выполнения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</w:t>
      </w:r>
      <w:r>
        <w:t>программы</w:t>
      </w:r>
      <w:bookmarkEnd w:id="9"/>
    </w:p>
    <w:p>
      <w:pPr>
        <w:spacing w:line="240" w:lineRule="auto"/>
        <w:ind w:firstLine="709"/>
      </w:pPr>
      <w:r>
        <w:t xml:space="preserve">Важнейшим фактором эффективной реализации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 xml:space="preserve">рограммы мероприятий по энергосбережению является грамотно построенная и внедренная система мониторинга хода реализации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 и система реагирования на отклонения от плана внедрения мероприятий по энергосбережению.</w:t>
      </w:r>
    </w:p>
    <w:p>
      <w:pPr>
        <w:spacing w:line="240" w:lineRule="auto"/>
        <w:ind w:firstLine="709"/>
      </w:pPr>
      <w:r>
        <w:t>Основные принципы работы по сбору и анализу данных:</w:t>
      </w:r>
    </w:p>
    <w:p>
      <w:pPr>
        <w:spacing w:line="240" w:lineRule="auto"/>
        <w:ind w:firstLine="709"/>
      </w:pPr>
      <w:r>
        <w:t>1. Наметить минимально необходимый уровень детализации данных, при котором достижима их необходимая и достаточная полнота и целостность в пределах имеющегося времени и выделенных денежных средств. Ввиду того, что периодом бюджетного планирования в государственных учреждениях является квартал, предлагается выбрать квартал в качестве периода планирования для реализации мероприятий по энергосбережению</w:t>
      </w:r>
    </w:p>
    <w:p>
      <w:pPr>
        <w:spacing w:line="240" w:lineRule="auto"/>
        <w:ind w:firstLine="709"/>
      </w:pPr>
      <w:r>
        <w:t>2. Организационными механизмами необходимо обеспечить полноту, точность и своевременность сбора данных.</w:t>
      </w:r>
    </w:p>
    <w:p>
      <w:pPr>
        <w:spacing w:line="240" w:lineRule="auto"/>
        <w:ind w:firstLine="709"/>
      </w:pPr>
      <w:r>
        <w:t>3. Проводить анализ данных в темпе их поступления. В случае невозможности добиться их полноты, точности, своевременности поступления, принять решение о дополнительных мерах по решению выявленных проблем.</w:t>
      </w:r>
    </w:p>
    <w:p>
      <w:pPr>
        <w:spacing w:line="240" w:lineRule="auto"/>
        <w:ind w:firstLine="709"/>
      </w:pPr>
      <w:r>
        <w:t xml:space="preserve">Механизм реализации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 включает:</w:t>
      </w:r>
    </w:p>
    <w:p>
      <w:pPr>
        <w:spacing w:line="240" w:lineRule="auto"/>
        <w:ind w:firstLine="709"/>
      </w:pPr>
      <w:r>
        <w:t>- выполнение программных мероприятий за счет предусмотренных источников финансирования;</w:t>
      </w:r>
    </w:p>
    <w:p>
      <w:pPr>
        <w:spacing w:line="240" w:lineRule="auto"/>
        <w:ind w:firstLine="709"/>
      </w:pPr>
      <w:r>
        <w:t xml:space="preserve">- ежегодную подготовку отчета о реализации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 и обсуждение достигнутых результатов;</w:t>
      </w:r>
    </w:p>
    <w:p>
      <w:pPr>
        <w:spacing w:line="240" w:lineRule="auto"/>
        <w:ind w:firstLine="709"/>
      </w:pPr>
      <w:r>
        <w:t xml:space="preserve">- ежегодную корректировку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 xml:space="preserve">рограммы с учетом результатов выполнения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 за предыдущий период и с учетом результатов проведенных энергетических обследований (энергоаудитов).</w:t>
      </w:r>
    </w:p>
    <w:p>
      <w:pPr>
        <w:spacing w:line="240" w:lineRule="auto"/>
        <w:ind w:firstLine="709"/>
      </w:pPr>
      <w:r>
        <w:t>Выполнение мероприятий по энергосбережению и повышению энергоэффективности ежегодно отражаются в отчетах, как в натуральном, так и в стоимостном выражении.</w:t>
      </w:r>
    </w:p>
    <w:p>
      <w:pPr>
        <w:spacing w:line="240" w:lineRule="auto"/>
        <w:ind w:firstLine="709"/>
      </w:pPr>
      <w:r>
        <w:t xml:space="preserve">Корректировка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 включает внесение изменений и дополнений в перечень программных мероприятий, с учетом результатов реализации энергосберегающих мероприятий в предыдущем году, а также на основании выявленных в результате энергетических обследований проблем в части энергосбережения, требующих их устранения.</w:t>
      </w:r>
    </w:p>
    <w:p>
      <w:pPr>
        <w:spacing w:line="240" w:lineRule="auto"/>
        <w:ind w:firstLine="709"/>
      </w:pPr>
      <w:r>
        <w:t xml:space="preserve">Система управления и контроль над выполнением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рограммы:</w:t>
      </w:r>
    </w:p>
    <w:p>
      <w:pPr>
        <w:spacing w:line="240" w:lineRule="auto"/>
        <w:ind w:firstLine="709"/>
      </w:pPr>
      <w:r>
        <w:t>-</w:t>
      </w:r>
      <w:r>
        <w:tab/>
      </w:r>
      <w:r>
        <w:t xml:space="preserve">Руководитель учреждения организует мониторинг выполнения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рограммы;</w:t>
      </w:r>
    </w:p>
    <w:p>
      <w:pPr>
        <w:spacing w:line="240" w:lineRule="auto"/>
        <w:ind w:firstLine="709"/>
      </w:pPr>
      <w:r>
        <w:t>-</w:t>
      </w:r>
      <w:r>
        <w:tab/>
      </w:r>
      <w:r>
        <w:t xml:space="preserve">Исполнитель осуществляет доклады о ходе реализации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 в установленном порядке.</w:t>
      </w:r>
    </w:p>
    <w:p>
      <w:pPr>
        <w:spacing w:line="240" w:lineRule="auto"/>
        <w:ind w:firstLine="709"/>
      </w:pPr>
      <w:r>
        <w:t xml:space="preserve">Для эффективного отражения результатов необходимо заполнять Отчет о достижении значений целевых показателей программы энергосбережения и повышения энергетической эффективности и Отчет о реализации мероприятий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 энергосбережения и повышения энергетической эффективности.</w:t>
      </w:r>
    </w:p>
    <w:p>
      <w:pPr>
        <w:spacing w:line="240" w:lineRule="auto"/>
        <w:ind w:firstLine="709"/>
      </w:pPr>
      <w:r>
        <w:t xml:space="preserve">Отчетность формируется нарастающим итогом с начала действия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 и в разрезе отчетного периода.</w:t>
      </w:r>
    </w:p>
    <w:p>
      <w:pPr>
        <w:spacing w:line="240" w:lineRule="auto"/>
        <w:ind w:firstLine="709"/>
      </w:pPr>
      <w:r>
        <w:t>Отчетность формируется по состоянию на 1 января года, следующего за отчетным.</w:t>
      </w:r>
    </w:p>
    <w:p>
      <w:pPr>
        <w:spacing w:line="240" w:lineRule="auto"/>
        <w:ind w:firstLine="709"/>
      </w:pPr>
      <w:r>
        <w:t xml:space="preserve">Формы отчетов о ходе реализации </w:t>
      </w:r>
      <w:r>
        <w:rPr>
          <w:lang w:val="ru-RU"/>
        </w:rPr>
        <w:t>муниципальной</w:t>
      </w:r>
      <w:r>
        <w:rPr>
          <w:rFonts w:hint="default"/>
          <w:lang w:val="ru-RU"/>
        </w:rPr>
        <w:t xml:space="preserve"> п</w:t>
      </w:r>
      <w:r>
        <w:t>рограммы энергосбережения представлены ниже.</w:t>
      </w:r>
    </w:p>
    <w:p>
      <w:pPr>
        <w:pageBreakBefore/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  <w:t xml:space="preserve">ОТЧЕТ О ДОСТИЖЕНИИ ЗНАЧЕНИЙ ЦЕЛЕВЫХ ПОКАЗАТЕЛЕЙ </w:t>
      </w:r>
      <w:r>
        <w:rPr>
          <w:color w:val="000000" w:themeColor="text1"/>
          <w:spacing w:val="2"/>
          <w:sz w:val="41"/>
          <w:szCs w:val="41"/>
          <w:lang w:val="ru-RU"/>
          <w14:textFill>
            <w14:solidFill>
              <w14:schemeClr w14:val="tx1"/>
            </w14:solidFill>
          </w14:textFill>
        </w:rPr>
        <w:t>МУНИЦИПАЛЬНОЙ</w:t>
      </w:r>
      <w:r>
        <w:rPr>
          <w:rFonts w:hint="default"/>
          <w:color w:val="000000" w:themeColor="text1"/>
          <w:spacing w:val="2"/>
          <w:sz w:val="41"/>
          <w:szCs w:val="41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  <w:t>ПРОГРАММЫ ЭНЕРГОСБЕРЕЖЕНИЯ И ПОВЫШЕНИЯ ЭНЕРГЕТИЧЕСКОЙ ЭФФЕКТИВНОСТИ</w:t>
      </w:r>
      <w:r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  <w:t>на 1 января 20___ г.</w:t>
      </w:r>
    </w:p>
    <w:p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</w:p>
    <w:tbl>
      <w:tblPr>
        <w:tblStyle w:val="9"/>
        <w:tblW w:w="5000" w:type="pc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8"/>
        <w:gridCol w:w="332"/>
        <w:gridCol w:w="138"/>
        <w:gridCol w:w="502"/>
        <w:gridCol w:w="926"/>
        <w:gridCol w:w="554"/>
        <w:gridCol w:w="270"/>
        <w:gridCol w:w="312"/>
        <w:gridCol w:w="1209"/>
        <w:gridCol w:w="891"/>
        <w:gridCol w:w="552"/>
        <w:gridCol w:w="957"/>
        <w:gridCol w:w="142"/>
        <w:gridCol w:w="1098"/>
        <w:gridCol w:w="169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КОДЫ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Дата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Наименование организации</w:t>
            </w:r>
          </w:p>
        </w:tc>
        <w:tc>
          <w:tcPr>
            <w:tcW w:w="3787" w:type="dxa"/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Муниципальное казённое учреждение Администрация сельского поселения Сорум Белоярского района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0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 п/п</w:t>
            </w:r>
          </w:p>
        </w:tc>
        <w:tc>
          <w:tcPr>
            <w:tcW w:w="3777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Наименование показателя программы</w:t>
            </w:r>
          </w:p>
        </w:tc>
        <w:tc>
          <w:tcPr>
            <w:tcW w:w="139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Единица измерения</w:t>
            </w:r>
          </w:p>
        </w:tc>
        <w:tc>
          <w:tcPr>
            <w:tcW w:w="37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Значения целевых показателей программы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06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7" w:type="dxa"/>
            <w:gridSpan w:val="7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отклонение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 технической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 финансово-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экономической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г.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76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727171"/>
          <w:sz w:val="21"/>
          <w:szCs w:val="21"/>
        </w:rPr>
      </w:pPr>
      <w:r>
        <w:rPr>
          <w:rFonts w:ascii="Arial" w:hAnsi="Arial" w:cs="Arial"/>
          <w:color w:val="727171"/>
          <w:sz w:val="21"/>
          <w:szCs w:val="21"/>
        </w:rPr>
        <w:t> </w:t>
      </w:r>
    </w:p>
    <w:p>
      <w:pPr>
        <w:spacing w:line="360" w:lineRule="auto"/>
        <w:ind w:firstLine="709"/>
        <w:rPr>
          <w:szCs w:val="28"/>
        </w:rPr>
        <w:sectPr>
          <w:footerReference r:id="rId8" w:type="default"/>
          <w:pgSz w:w="11906" w:h="16838"/>
          <w:pgMar w:top="709" w:right="851" w:bottom="1134" w:left="1134" w:header="284" w:footer="567" w:gutter="0"/>
          <w:cols w:space="708" w:num="1"/>
          <w:titlePg/>
          <w:docGrid w:linePitch="381" w:charSpace="0"/>
        </w:sectPr>
      </w:pPr>
    </w:p>
    <w:p>
      <w:pPr>
        <w:spacing w:line="288" w:lineRule="atLeast"/>
        <w:jc w:val="center"/>
        <w:textAlignment w:val="baseline"/>
        <w:rPr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ОТЧЕТ О РЕАЛИЗАЦИИ МЕРОПРИЯТИЙ 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МУНИЦИПАЛЬНОЙ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ПРОГРАММЫ ЭНЕРГОСБЕРЕЖЕНИЯ И ПОВЫШЕНИЯ ЭНЕРГЕТИЧЕСКОЙ ЭФФЕКТИВНОСТИ</w:t>
      </w:r>
      <w:r>
        <w:rPr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1 января 20___ г.</w:t>
      </w:r>
    </w:p>
    <w:tbl>
      <w:tblPr>
        <w:tblStyle w:val="9"/>
        <w:tblW w:w="5048" w:type="pc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3"/>
        <w:gridCol w:w="2990"/>
        <w:gridCol w:w="427"/>
        <w:gridCol w:w="639"/>
        <w:gridCol w:w="1068"/>
        <w:gridCol w:w="854"/>
        <w:gridCol w:w="1281"/>
        <w:gridCol w:w="854"/>
        <w:gridCol w:w="1068"/>
        <w:gridCol w:w="855"/>
        <w:gridCol w:w="427"/>
        <w:gridCol w:w="1068"/>
        <w:gridCol w:w="427"/>
        <w:gridCol w:w="427"/>
        <w:gridCol w:w="1068"/>
        <w:gridCol w:w="121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КОДЫ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Дата</w:t>
            </w:r>
          </w:p>
        </w:tc>
        <w:tc>
          <w:tcPr>
            <w:tcW w:w="27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Наименование организации</w:t>
            </w:r>
          </w:p>
        </w:tc>
        <w:tc>
          <w:tcPr>
            <w:tcW w:w="6619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Муниципальное казённое учреждение Администрация сельского поселения Сорум Белоярского района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533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533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 п/п</w:t>
            </w:r>
          </w:p>
        </w:tc>
        <w:tc>
          <w:tcPr>
            <w:tcW w:w="299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Наименование мероприятия программы</w:t>
            </w:r>
          </w:p>
        </w:tc>
        <w:tc>
          <w:tcPr>
            <w:tcW w:w="4269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Финансовое обеспечение реализации мероприятий</w:t>
            </w:r>
          </w:p>
        </w:tc>
        <w:tc>
          <w:tcPr>
            <w:tcW w:w="74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Экономия топливно-энергетических ресурсов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9" w:type="dxa"/>
            <w:gridSpan w:val="5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2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в натуральном выражении</w:t>
            </w:r>
          </w:p>
        </w:tc>
        <w:tc>
          <w:tcPr>
            <w:tcW w:w="31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в стоимостном выражении,</w:t>
            </w:r>
          </w:p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тыс. руб.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источник</w:t>
            </w:r>
          </w:p>
        </w:tc>
        <w:tc>
          <w:tcPr>
            <w:tcW w:w="32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объем, тыс. руб.</w:t>
            </w:r>
          </w:p>
        </w:tc>
        <w:tc>
          <w:tcPr>
            <w:tcW w:w="32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количество</w:t>
            </w:r>
          </w:p>
        </w:tc>
        <w:tc>
          <w:tcPr>
            <w:tcW w:w="10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ед. изм.</w:t>
            </w:r>
          </w:p>
        </w:tc>
        <w:tc>
          <w:tcPr>
            <w:tcW w:w="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отклонение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отклонение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отклонение</w:t>
            </w:r>
          </w:p>
        </w:tc>
        <w:tc>
          <w:tcPr>
            <w:tcW w:w="10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66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Итого по мероприятиям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663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Итого по мероприятиям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Всего по мероприятиям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СПРАВОЧНО:</w:t>
            </w:r>
          </w:p>
        </w:tc>
        <w:tc>
          <w:tcPr>
            <w:tcW w:w="1060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Всего с начала года</w:t>
            </w:r>
          </w:p>
        </w:tc>
        <w:tc>
          <w:tcPr>
            <w:tcW w:w="10609" w:type="dxa"/>
            <w:gridSpan w:val="1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реализации программы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1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textAlignment w:val="baseline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0"/>
        <w:gridCol w:w="554"/>
        <w:gridCol w:w="554"/>
        <w:gridCol w:w="1294"/>
        <w:gridCol w:w="554"/>
        <w:gridCol w:w="1541"/>
        <w:gridCol w:w="2550"/>
        <w:gridCol w:w="275"/>
        <w:gridCol w:w="2163"/>
        <w:gridCol w:w="375"/>
        <w:gridCol w:w="38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 технической службы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 финансово-</w:t>
            </w:r>
            <w:r>
              <w:rPr>
                <w:rFonts w:hint="default"/>
                <w:color w:val="000000" w:themeColor="text1"/>
                <w:sz w:val="21"/>
                <w:szCs w:val="2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экономической службы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86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(подпись)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г.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pacing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34" w:right="851" w:bottom="851" w:left="851" w:header="709" w:footer="567" w:gutter="0"/>
      <w:cols w:space="708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>
    <w:pPr>
      <w:pStyle w:val="29"/>
      <w:jc w:val="center"/>
    </w:pPr>
    <w:r>
      <w:rPr>
        <w:lang w:val="ru-RU"/>
      </w:rPr>
      <w:t>Муниципальная</w:t>
    </w:r>
    <w:r>
      <w:rPr>
        <w:rFonts w:hint="default"/>
        <w:lang w:val="ru-RU"/>
      </w:rPr>
      <w:t xml:space="preserve"> п</w:t>
    </w:r>
    <w:r>
      <w:t>рограмма Энергосбережение и повышение энергетической эффективности</w:t>
    </w:r>
  </w:p>
  <w:p>
    <w:pPr>
      <w:pStyle w:val="29"/>
      <w:tabs>
        <w:tab w:val="left" w:pos="9071"/>
      </w:tabs>
      <w:jc w:val="center"/>
      <w:rPr>
        <w:lang w:val="ru-RU"/>
      </w:rPr>
    </w:pPr>
    <w:r>
      <w:rPr>
        <w:lang w:val="ru-RU"/>
      </w:rPr>
      <w:t>на 2023-2025 годы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22</w:t>
    </w:r>
    <w:r>
      <w:fldChar w:fldCharType="end"/>
    </w:r>
  </w:p>
  <w:p>
    <w:pPr>
      <w:pStyle w:val="29"/>
      <w:tabs>
        <w:tab w:val="left" w:pos="9071"/>
      </w:tabs>
      <w:jc w:val="center"/>
      <w:rPr>
        <w:lang w:val="ru-RU"/>
      </w:rPr>
    </w:pPr>
    <w:r>
      <w:rPr>
        <w:lang w:val="ru-RU"/>
      </w:rPr>
      <w:t>Муниципальная</w:t>
    </w:r>
    <w:r>
      <w:rPr>
        <w:rFonts w:hint="default"/>
        <w:lang w:val="ru-RU"/>
      </w:rPr>
      <w:t xml:space="preserve"> п</w:t>
    </w:r>
    <w:r>
      <w:rPr>
        <w:lang w:val="ru-RU"/>
      </w:rPr>
      <w:t>рограмма Энергосбережение и повышение энергетической эффективности</w:t>
    </w:r>
  </w:p>
  <w:p>
    <w:pPr>
      <w:pStyle w:val="29"/>
      <w:tabs>
        <w:tab w:val="left" w:pos="9071"/>
      </w:tabs>
      <w:jc w:val="center"/>
      <w:rPr>
        <w:lang w:val="ru-RU"/>
      </w:rPr>
    </w:pPr>
    <w:r>
      <w:rPr>
        <w:lang w:val="ru-RU"/>
      </w:rPr>
      <w:t xml:space="preserve"> на 2023-2025 годы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19</w:t>
    </w:r>
    <w:r>
      <w:fldChar w:fldCharType="end"/>
    </w:r>
  </w:p>
  <w:p>
    <w:pPr>
      <w:pStyle w:val="29"/>
      <w:tabs>
        <w:tab w:val="left" w:pos="9071"/>
      </w:tabs>
      <w:jc w:val="center"/>
      <w:rPr>
        <w:lang w:val="ru-RU"/>
      </w:rPr>
    </w:pPr>
    <w:r>
      <w:rPr>
        <w:lang w:val="ru-RU"/>
      </w:rPr>
      <w:t>Муниципальная</w:t>
    </w:r>
    <w:r>
      <w:rPr>
        <w:rFonts w:hint="default"/>
        <w:lang w:val="ru-RU"/>
      </w:rPr>
      <w:t xml:space="preserve"> п</w:t>
    </w:r>
    <w:r>
      <w:rPr>
        <w:lang w:val="ru-RU"/>
      </w:rPr>
      <w:t>рограмма Энергосбережение и повышение энергетической эффективности</w:t>
    </w:r>
  </w:p>
  <w:p>
    <w:pPr>
      <w:pStyle w:val="29"/>
      <w:tabs>
        <w:tab w:val="left" w:pos="9071"/>
      </w:tabs>
      <w:jc w:val="center"/>
      <w:rPr>
        <w:lang w:val="ru-RU"/>
      </w:rPr>
    </w:pPr>
    <w:r>
      <w:rPr>
        <w:lang w:val="ru-RU"/>
      </w:rPr>
      <w:t xml:space="preserve"> на 2023-2025 годы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21</w:t>
    </w:r>
    <w:r>
      <w:fldChar w:fldCharType="end"/>
    </w:r>
  </w:p>
  <w:p>
    <w:pPr>
      <w:pStyle w:val="29"/>
      <w:jc w:val="center"/>
    </w:pPr>
    <w:r>
      <w:rPr>
        <w:lang w:val="ru-RU"/>
      </w:rPr>
      <w:t>Муниципальная</w:t>
    </w:r>
    <w:r>
      <w:rPr>
        <w:rFonts w:hint="default"/>
        <w:lang w:val="ru-RU"/>
      </w:rPr>
      <w:t xml:space="preserve"> п</w:t>
    </w:r>
    <w:r>
      <w:t>рограмма Энергосбережение и повышение энергетической эффективности</w:t>
    </w:r>
  </w:p>
  <w:p>
    <w:pPr>
      <w:pStyle w:val="29"/>
      <w:jc w:val="center"/>
    </w:pPr>
    <w:r>
      <w:t>на 202</w:t>
    </w:r>
    <w:r>
      <w:rPr>
        <w:lang w:val="ru-RU"/>
      </w:rPr>
      <w:t>3</w:t>
    </w:r>
    <w:r>
      <w:t>-202</w:t>
    </w:r>
    <w:r>
      <w:rPr>
        <w:lang w:val="ru-RU"/>
      </w:rPr>
      <w:t>5</w:t>
    </w:r>
    <w:r>
      <w:t xml:space="preserve"> годы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lang w:val="ru-RU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A4AAE"/>
    <w:multiLevelType w:val="multilevel"/>
    <w:tmpl w:val="05CA4AAE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1">
    <w:nsid w:val="2121392B"/>
    <w:multiLevelType w:val="multilevel"/>
    <w:tmpl w:val="2121392B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2">
    <w:nsid w:val="31F07097"/>
    <w:multiLevelType w:val="multilevel"/>
    <w:tmpl w:val="31F07097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E9E06D5"/>
    <w:multiLevelType w:val="multilevel"/>
    <w:tmpl w:val="3E9E06D5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58C5B74"/>
    <w:multiLevelType w:val="multilevel"/>
    <w:tmpl w:val="458C5B74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5E5235F3"/>
    <w:multiLevelType w:val="multilevel"/>
    <w:tmpl w:val="5E5235F3"/>
    <w:lvl w:ilvl="0" w:tentative="0">
      <w:start w:val="1"/>
      <w:numFmt w:val="bullet"/>
      <w:lvlText w:val=""/>
      <w:lvlJc w:val="left"/>
      <w:pPr>
        <w:ind w:left="66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22" w:hanging="360"/>
      </w:pPr>
      <w:rPr>
        <w:rFonts w:hint="default" w:ascii="Wingdings" w:hAnsi="Wingdings"/>
      </w:rPr>
    </w:lvl>
  </w:abstractNum>
  <w:abstractNum w:abstractNumId="6">
    <w:nsid w:val="6FB846A5"/>
    <w:multiLevelType w:val="multilevel"/>
    <w:tmpl w:val="6FB846A5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>
    <w:nsid w:val="72395803"/>
    <w:multiLevelType w:val="multilevel"/>
    <w:tmpl w:val="723958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7E4339C"/>
    <w:multiLevelType w:val="multilevel"/>
    <w:tmpl w:val="77E4339C"/>
    <w:lvl w:ilvl="0" w:tentative="0">
      <w:start w:val="1"/>
      <w:numFmt w:val="bullet"/>
      <w:lvlText w:val=""/>
      <w:lvlJc w:val="left"/>
      <w:pPr>
        <w:ind w:left="66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22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8"/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NDawNDQwsDA1NTRT0lEKTi0uzszPAykwqgUA5ygA2SwAAAA="/>
  </w:docVars>
  <w:rsids>
    <w:rsidRoot w:val="0083655E"/>
    <w:rsid w:val="000008DD"/>
    <w:rsid w:val="00002DAC"/>
    <w:rsid w:val="00003667"/>
    <w:rsid w:val="0000393D"/>
    <w:rsid w:val="0000494F"/>
    <w:rsid w:val="00005D1F"/>
    <w:rsid w:val="000062E5"/>
    <w:rsid w:val="000067A7"/>
    <w:rsid w:val="000077F1"/>
    <w:rsid w:val="00010455"/>
    <w:rsid w:val="000125FC"/>
    <w:rsid w:val="0001326D"/>
    <w:rsid w:val="0001340B"/>
    <w:rsid w:val="00013876"/>
    <w:rsid w:val="00013F2D"/>
    <w:rsid w:val="000142F2"/>
    <w:rsid w:val="00021B1F"/>
    <w:rsid w:val="000247CF"/>
    <w:rsid w:val="000268B0"/>
    <w:rsid w:val="00026B66"/>
    <w:rsid w:val="00026D54"/>
    <w:rsid w:val="0003089E"/>
    <w:rsid w:val="00033BD9"/>
    <w:rsid w:val="00034918"/>
    <w:rsid w:val="000349C5"/>
    <w:rsid w:val="00036E9A"/>
    <w:rsid w:val="00037B77"/>
    <w:rsid w:val="0004092B"/>
    <w:rsid w:val="00040DD9"/>
    <w:rsid w:val="00041314"/>
    <w:rsid w:val="00042AB2"/>
    <w:rsid w:val="000432FB"/>
    <w:rsid w:val="000450AE"/>
    <w:rsid w:val="000456FE"/>
    <w:rsid w:val="0005050B"/>
    <w:rsid w:val="0005094C"/>
    <w:rsid w:val="00053747"/>
    <w:rsid w:val="000547B9"/>
    <w:rsid w:val="00055C78"/>
    <w:rsid w:val="00060C3F"/>
    <w:rsid w:val="00063095"/>
    <w:rsid w:val="000631EB"/>
    <w:rsid w:val="00063D80"/>
    <w:rsid w:val="000663FD"/>
    <w:rsid w:val="000665A3"/>
    <w:rsid w:val="0006680D"/>
    <w:rsid w:val="000700E9"/>
    <w:rsid w:val="0007137D"/>
    <w:rsid w:val="00071881"/>
    <w:rsid w:val="000747B4"/>
    <w:rsid w:val="0007535D"/>
    <w:rsid w:val="000771F8"/>
    <w:rsid w:val="000774CD"/>
    <w:rsid w:val="00077E05"/>
    <w:rsid w:val="00080064"/>
    <w:rsid w:val="00081F65"/>
    <w:rsid w:val="0008335B"/>
    <w:rsid w:val="000836A3"/>
    <w:rsid w:val="00090549"/>
    <w:rsid w:val="000906EA"/>
    <w:rsid w:val="00090FFE"/>
    <w:rsid w:val="0009232F"/>
    <w:rsid w:val="0009486A"/>
    <w:rsid w:val="00094D32"/>
    <w:rsid w:val="00095C7B"/>
    <w:rsid w:val="00097F6F"/>
    <w:rsid w:val="000A3C6C"/>
    <w:rsid w:val="000A3CA8"/>
    <w:rsid w:val="000A6C91"/>
    <w:rsid w:val="000B015C"/>
    <w:rsid w:val="000B0858"/>
    <w:rsid w:val="000B1B72"/>
    <w:rsid w:val="000B1D4C"/>
    <w:rsid w:val="000B4E15"/>
    <w:rsid w:val="000B5966"/>
    <w:rsid w:val="000B5BAA"/>
    <w:rsid w:val="000B7FAD"/>
    <w:rsid w:val="000C084D"/>
    <w:rsid w:val="000C0BC5"/>
    <w:rsid w:val="000C2143"/>
    <w:rsid w:val="000C284D"/>
    <w:rsid w:val="000C36FE"/>
    <w:rsid w:val="000C5470"/>
    <w:rsid w:val="000C5B4C"/>
    <w:rsid w:val="000D1BC1"/>
    <w:rsid w:val="000D29D1"/>
    <w:rsid w:val="000D3848"/>
    <w:rsid w:val="000D3BBD"/>
    <w:rsid w:val="000D49F2"/>
    <w:rsid w:val="000D692F"/>
    <w:rsid w:val="000E04B5"/>
    <w:rsid w:val="000E1EAA"/>
    <w:rsid w:val="000E7E7B"/>
    <w:rsid w:val="000F1008"/>
    <w:rsid w:val="000F1B49"/>
    <w:rsid w:val="000F1F36"/>
    <w:rsid w:val="000F2296"/>
    <w:rsid w:val="000F30F3"/>
    <w:rsid w:val="000F4352"/>
    <w:rsid w:val="000F4D04"/>
    <w:rsid w:val="000F56EE"/>
    <w:rsid w:val="000F73A4"/>
    <w:rsid w:val="0010051C"/>
    <w:rsid w:val="001007E0"/>
    <w:rsid w:val="001026B8"/>
    <w:rsid w:val="00102B0D"/>
    <w:rsid w:val="00103C94"/>
    <w:rsid w:val="0010683D"/>
    <w:rsid w:val="001106C6"/>
    <w:rsid w:val="00110787"/>
    <w:rsid w:val="001112AA"/>
    <w:rsid w:val="00111EDF"/>
    <w:rsid w:val="001122AA"/>
    <w:rsid w:val="00112AE5"/>
    <w:rsid w:val="001134C6"/>
    <w:rsid w:val="00113E42"/>
    <w:rsid w:val="00114704"/>
    <w:rsid w:val="00114C30"/>
    <w:rsid w:val="0011587C"/>
    <w:rsid w:val="00115E40"/>
    <w:rsid w:val="00124207"/>
    <w:rsid w:val="00124582"/>
    <w:rsid w:val="00124AC7"/>
    <w:rsid w:val="001252FE"/>
    <w:rsid w:val="00125707"/>
    <w:rsid w:val="00125797"/>
    <w:rsid w:val="00125846"/>
    <w:rsid w:val="00125A35"/>
    <w:rsid w:val="00126749"/>
    <w:rsid w:val="00126BEE"/>
    <w:rsid w:val="00130539"/>
    <w:rsid w:val="00130FF3"/>
    <w:rsid w:val="0013320A"/>
    <w:rsid w:val="00134F45"/>
    <w:rsid w:val="00135CBF"/>
    <w:rsid w:val="001362D2"/>
    <w:rsid w:val="001364A9"/>
    <w:rsid w:val="00136E0D"/>
    <w:rsid w:val="00137F6F"/>
    <w:rsid w:val="0014008B"/>
    <w:rsid w:val="0014055D"/>
    <w:rsid w:val="00141A81"/>
    <w:rsid w:val="00142461"/>
    <w:rsid w:val="00142CA5"/>
    <w:rsid w:val="001437DA"/>
    <w:rsid w:val="00143D2C"/>
    <w:rsid w:val="0014546B"/>
    <w:rsid w:val="001476CF"/>
    <w:rsid w:val="0015193C"/>
    <w:rsid w:val="00154C96"/>
    <w:rsid w:val="00154EFA"/>
    <w:rsid w:val="00155AD0"/>
    <w:rsid w:val="00157527"/>
    <w:rsid w:val="00157DDC"/>
    <w:rsid w:val="00162BEA"/>
    <w:rsid w:val="00167BC5"/>
    <w:rsid w:val="00167DB3"/>
    <w:rsid w:val="00170201"/>
    <w:rsid w:val="00170460"/>
    <w:rsid w:val="00170879"/>
    <w:rsid w:val="0017179C"/>
    <w:rsid w:val="00171879"/>
    <w:rsid w:val="00171BAA"/>
    <w:rsid w:val="001729B3"/>
    <w:rsid w:val="00173B2A"/>
    <w:rsid w:val="00173BDE"/>
    <w:rsid w:val="001749D5"/>
    <w:rsid w:val="00175773"/>
    <w:rsid w:val="001777DA"/>
    <w:rsid w:val="0018230B"/>
    <w:rsid w:val="0018675E"/>
    <w:rsid w:val="0018784E"/>
    <w:rsid w:val="00187BEB"/>
    <w:rsid w:val="00192565"/>
    <w:rsid w:val="00193E97"/>
    <w:rsid w:val="00195344"/>
    <w:rsid w:val="001954F9"/>
    <w:rsid w:val="00197B50"/>
    <w:rsid w:val="001A008F"/>
    <w:rsid w:val="001A0854"/>
    <w:rsid w:val="001A21D8"/>
    <w:rsid w:val="001A4DCE"/>
    <w:rsid w:val="001A4E3F"/>
    <w:rsid w:val="001A5E87"/>
    <w:rsid w:val="001A65CC"/>
    <w:rsid w:val="001A7DEB"/>
    <w:rsid w:val="001B1B3D"/>
    <w:rsid w:val="001B202C"/>
    <w:rsid w:val="001B3FA9"/>
    <w:rsid w:val="001B6D09"/>
    <w:rsid w:val="001C0006"/>
    <w:rsid w:val="001C03BB"/>
    <w:rsid w:val="001C1E13"/>
    <w:rsid w:val="001C1E93"/>
    <w:rsid w:val="001C3017"/>
    <w:rsid w:val="001C31FB"/>
    <w:rsid w:val="001C3691"/>
    <w:rsid w:val="001C61A3"/>
    <w:rsid w:val="001C622B"/>
    <w:rsid w:val="001C6673"/>
    <w:rsid w:val="001D04C8"/>
    <w:rsid w:val="001D084B"/>
    <w:rsid w:val="001D35FA"/>
    <w:rsid w:val="001D3A78"/>
    <w:rsid w:val="001D4BAC"/>
    <w:rsid w:val="001D4CBC"/>
    <w:rsid w:val="001D5CAC"/>
    <w:rsid w:val="001D6A93"/>
    <w:rsid w:val="001D735D"/>
    <w:rsid w:val="001D77F4"/>
    <w:rsid w:val="001E0E5E"/>
    <w:rsid w:val="001E2C44"/>
    <w:rsid w:val="001E45F1"/>
    <w:rsid w:val="001E55AF"/>
    <w:rsid w:val="001E565A"/>
    <w:rsid w:val="001E6F43"/>
    <w:rsid w:val="001F06BC"/>
    <w:rsid w:val="001F06FF"/>
    <w:rsid w:val="001F1E9A"/>
    <w:rsid w:val="001F37C0"/>
    <w:rsid w:val="001F4FB8"/>
    <w:rsid w:val="001F568D"/>
    <w:rsid w:val="001F56EC"/>
    <w:rsid w:val="001F67EE"/>
    <w:rsid w:val="001F7E6F"/>
    <w:rsid w:val="00201111"/>
    <w:rsid w:val="00204115"/>
    <w:rsid w:val="002052F6"/>
    <w:rsid w:val="00206B4B"/>
    <w:rsid w:val="00206D77"/>
    <w:rsid w:val="00207375"/>
    <w:rsid w:val="002110D7"/>
    <w:rsid w:val="002119B6"/>
    <w:rsid w:val="002129E3"/>
    <w:rsid w:val="00212DD0"/>
    <w:rsid w:val="002137E0"/>
    <w:rsid w:val="00214273"/>
    <w:rsid w:val="0021525B"/>
    <w:rsid w:val="002155A9"/>
    <w:rsid w:val="002161F1"/>
    <w:rsid w:val="002166D5"/>
    <w:rsid w:val="00216F16"/>
    <w:rsid w:val="00217AC3"/>
    <w:rsid w:val="00221E09"/>
    <w:rsid w:val="00222629"/>
    <w:rsid w:val="00223122"/>
    <w:rsid w:val="002253AD"/>
    <w:rsid w:val="00225DD9"/>
    <w:rsid w:val="00226EFC"/>
    <w:rsid w:val="00230F88"/>
    <w:rsid w:val="0023226B"/>
    <w:rsid w:val="0023301F"/>
    <w:rsid w:val="002339F8"/>
    <w:rsid w:val="002345A4"/>
    <w:rsid w:val="002368D4"/>
    <w:rsid w:val="00236FD5"/>
    <w:rsid w:val="00237DBB"/>
    <w:rsid w:val="00240298"/>
    <w:rsid w:val="0024056D"/>
    <w:rsid w:val="002405C1"/>
    <w:rsid w:val="0024129E"/>
    <w:rsid w:val="0024185C"/>
    <w:rsid w:val="0024223E"/>
    <w:rsid w:val="00244A2D"/>
    <w:rsid w:val="00244CF8"/>
    <w:rsid w:val="0024610C"/>
    <w:rsid w:val="002469F5"/>
    <w:rsid w:val="00246E08"/>
    <w:rsid w:val="00247684"/>
    <w:rsid w:val="00250306"/>
    <w:rsid w:val="002514DB"/>
    <w:rsid w:val="00252171"/>
    <w:rsid w:val="00252751"/>
    <w:rsid w:val="00257154"/>
    <w:rsid w:val="002577C3"/>
    <w:rsid w:val="002602FA"/>
    <w:rsid w:val="00260A0F"/>
    <w:rsid w:val="00262954"/>
    <w:rsid w:val="00263A51"/>
    <w:rsid w:val="00263FDF"/>
    <w:rsid w:val="0027128E"/>
    <w:rsid w:val="00271616"/>
    <w:rsid w:val="00271666"/>
    <w:rsid w:val="002718A5"/>
    <w:rsid w:val="00271E84"/>
    <w:rsid w:val="002746DA"/>
    <w:rsid w:val="0027530F"/>
    <w:rsid w:val="002831AE"/>
    <w:rsid w:val="0028343C"/>
    <w:rsid w:val="00284058"/>
    <w:rsid w:val="0029317C"/>
    <w:rsid w:val="002936B6"/>
    <w:rsid w:val="00294A72"/>
    <w:rsid w:val="00295B33"/>
    <w:rsid w:val="00295F09"/>
    <w:rsid w:val="002A002F"/>
    <w:rsid w:val="002A08A3"/>
    <w:rsid w:val="002A67CF"/>
    <w:rsid w:val="002B0071"/>
    <w:rsid w:val="002B23D9"/>
    <w:rsid w:val="002B2F05"/>
    <w:rsid w:val="002B5747"/>
    <w:rsid w:val="002B5AC9"/>
    <w:rsid w:val="002C0DD3"/>
    <w:rsid w:val="002C1498"/>
    <w:rsid w:val="002C200F"/>
    <w:rsid w:val="002C2856"/>
    <w:rsid w:val="002C4468"/>
    <w:rsid w:val="002C4B44"/>
    <w:rsid w:val="002C51B3"/>
    <w:rsid w:val="002C60FB"/>
    <w:rsid w:val="002C6685"/>
    <w:rsid w:val="002C7BF5"/>
    <w:rsid w:val="002D0134"/>
    <w:rsid w:val="002D16AD"/>
    <w:rsid w:val="002D34AB"/>
    <w:rsid w:val="002D4253"/>
    <w:rsid w:val="002D49A9"/>
    <w:rsid w:val="002D6D68"/>
    <w:rsid w:val="002D73A0"/>
    <w:rsid w:val="002D768A"/>
    <w:rsid w:val="002E02E0"/>
    <w:rsid w:val="002E03F5"/>
    <w:rsid w:val="002E0DCC"/>
    <w:rsid w:val="002E1530"/>
    <w:rsid w:val="002E1647"/>
    <w:rsid w:val="002E1C15"/>
    <w:rsid w:val="002E1C76"/>
    <w:rsid w:val="002E1EDD"/>
    <w:rsid w:val="002E2118"/>
    <w:rsid w:val="002E390E"/>
    <w:rsid w:val="002E3E40"/>
    <w:rsid w:val="002E46A3"/>
    <w:rsid w:val="002E5168"/>
    <w:rsid w:val="002E5748"/>
    <w:rsid w:val="002E5EE8"/>
    <w:rsid w:val="002E7C0F"/>
    <w:rsid w:val="002F0AE5"/>
    <w:rsid w:val="002F0E16"/>
    <w:rsid w:val="002F1DE8"/>
    <w:rsid w:val="002F246D"/>
    <w:rsid w:val="002F2706"/>
    <w:rsid w:val="002F3768"/>
    <w:rsid w:val="002F479D"/>
    <w:rsid w:val="002F4A9B"/>
    <w:rsid w:val="002F6A5F"/>
    <w:rsid w:val="003007DC"/>
    <w:rsid w:val="0030147D"/>
    <w:rsid w:val="00301566"/>
    <w:rsid w:val="0030341F"/>
    <w:rsid w:val="00303F6F"/>
    <w:rsid w:val="00304267"/>
    <w:rsid w:val="0030498C"/>
    <w:rsid w:val="00307109"/>
    <w:rsid w:val="00307D61"/>
    <w:rsid w:val="0031130C"/>
    <w:rsid w:val="00312D5A"/>
    <w:rsid w:val="0031346E"/>
    <w:rsid w:val="00316707"/>
    <w:rsid w:val="00317CAD"/>
    <w:rsid w:val="00320293"/>
    <w:rsid w:val="003221E0"/>
    <w:rsid w:val="00323047"/>
    <w:rsid w:val="003238A9"/>
    <w:rsid w:val="00324005"/>
    <w:rsid w:val="003257AE"/>
    <w:rsid w:val="00325B29"/>
    <w:rsid w:val="003270C3"/>
    <w:rsid w:val="00330972"/>
    <w:rsid w:val="00331185"/>
    <w:rsid w:val="00331324"/>
    <w:rsid w:val="0033148C"/>
    <w:rsid w:val="003315F5"/>
    <w:rsid w:val="003338C0"/>
    <w:rsid w:val="00335041"/>
    <w:rsid w:val="00335A0B"/>
    <w:rsid w:val="003360B0"/>
    <w:rsid w:val="00340422"/>
    <w:rsid w:val="0034065F"/>
    <w:rsid w:val="00341F95"/>
    <w:rsid w:val="00341FB8"/>
    <w:rsid w:val="003421E2"/>
    <w:rsid w:val="00342E00"/>
    <w:rsid w:val="0034451D"/>
    <w:rsid w:val="0034466F"/>
    <w:rsid w:val="0034581B"/>
    <w:rsid w:val="00347CD7"/>
    <w:rsid w:val="00350588"/>
    <w:rsid w:val="00350A92"/>
    <w:rsid w:val="00351370"/>
    <w:rsid w:val="003513F9"/>
    <w:rsid w:val="00351555"/>
    <w:rsid w:val="003516A2"/>
    <w:rsid w:val="00353641"/>
    <w:rsid w:val="003548BE"/>
    <w:rsid w:val="0035605B"/>
    <w:rsid w:val="003624DB"/>
    <w:rsid w:val="003625FA"/>
    <w:rsid w:val="0036356A"/>
    <w:rsid w:val="00365590"/>
    <w:rsid w:val="00366FE2"/>
    <w:rsid w:val="00367145"/>
    <w:rsid w:val="003678F1"/>
    <w:rsid w:val="0037115F"/>
    <w:rsid w:val="003712C5"/>
    <w:rsid w:val="003731E6"/>
    <w:rsid w:val="0037371E"/>
    <w:rsid w:val="00374383"/>
    <w:rsid w:val="00376312"/>
    <w:rsid w:val="003763DC"/>
    <w:rsid w:val="00377711"/>
    <w:rsid w:val="00381F1A"/>
    <w:rsid w:val="00382F76"/>
    <w:rsid w:val="00383759"/>
    <w:rsid w:val="00385F8C"/>
    <w:rsid w:val="00386059"/>
    <w:rsid w:val="00386E70"/>
    <w:rsid w:val="00390B13"/>
    <w:rsid w:val="003912DB"/>
    <w:rsid w:val="00392CFE"/>
    <w:rsid w:val="00394D67"/>
    <w:rsid w:val="003A0232"/>
    <w:rsid w:val="003A05CE"/>
    <w:rsid w:val="003A093D"/>
    <w:rsid w:val="003A0BE5"/>
    <w:rsid w:val="003A1BCB"/>
    <w:rsid w:val="003A2D7C"/>
    <w:rsid w:val="003A7104"/>
    <w:rsid w:val="003A7315"/>
    <w:rsid w:val="003B04EA"/>
    <w:rsid w:val="003B1131"/>
    <w:rsid w:val="003B1BDD"/>
    <w:rsid w:val="003B3A89"/>
    <w:rsid w:val="003B5D09"/>
    <w:rsid w:val="003B5D20"/>
    <w:rsid w:val="003B6CAD"/>
    <w:rsid w:val="003C01C6"/>
    <w:rsid w:val="003C0751"/>
    <w:rsid w:val="003C0841"/>
    <w:rsid w:val="003C109A"/>
    <w:rsid w:val="003C1196"/>
    <w:rsid w:val="003C1D58"/>
    <w:rsid w:val="003C2EFF"/>
    <w:rsid w:val="003C461D"/>
    <w:rsid w:val="003C7075"/>
    <w:rsid w:val="003C70DF"/>
    <w:rsid w:val="003D1161"/>
    <w:rsid w:val="003D1616"/>
    <w:rsid w:val="003D21CA"/>
    <w:rsid w:val="003D262B"/>
    <w:rsid w:val="003D295C"/>
    <w:rsid w:val="003D3076"/>
    <w:rsid w:val="003D57F6"/>
    <w:rsid w:val="003D7BCB"/>
    <w:rsid w:val="003E2751"/>
    <w:rsid w:val="003E3DF6"/>
    <w:rsid w:val="003E491E"/>
    <w:rsid w:val="003E77E8"/>
    <w:rsid w:val="003E7C3C"/>
    <w:rsid w:val="003F08D9"/>
    <w:rsid w:val="003F2055"/>
    <w:rsid w:val="003F2096"/>
    <w:rsid w:val="003F2294"/>
    <w:rsid w:val="003F2F06"/>
    <w:rsid w:val="003F36CD"/>
    <w:rsid w:val="003F3B71"/>
    <w:rsid w:val="003F47C7"/>
    <w:rsid w:val="003F5CD0"/>
    <w:rsid w:val="003F623F"/>
    <w:rsid w:val="004041AE"/>
    <w:rsid w:val="004065AF"/>
    <w:rsid w:val="00406727"/>
    <w:rsid w:val="004074A8"/>
    <w:rsid w:val="00407756"/>
    <w:rsid w:val="0041086A"/>
    <w:rsid w:val="00414194"/>
    <w:rsid w:val="0041501E"/>
    <w:rsid w:val="00415C75"/>
    <w:rsid w:val="004167F6"/>
    <w:rsid w:val="00420C59"/>
    <w:rsid w:val="00420EEE"/>
    <w:rsid w:val="004211AC"/>
    <w:rsid w:val="00422C9B"/>
    <w:rsid w:val="00424190"/>
    <w:rsid w:val="00424402"/>
    <w:rsid w:val="00425E22"/>
    <w:rsid w:val="00426A96"/>
    <w:rsid w:val="004314AE"/>
    <w:rsid w:val="004317C4"/>
    <w:rsid w:val="0043341A"/>
    <w:rsid w:val="0043429A"/>
    <w:rsid w:val="00435635"/>
    <w:rsid w:val="0043645E"/>
    <w:rsid w:val="00441273"/>
    <w:rsid w:val="004429CD"/>
    <w:rsid w:val="00442AF0"/>
    <w:rsid w:val="00443F75"/>
    <w:rsid w:val="00443FF3"/>
    <w:rsid w:val="004464FF"/>
    <w:rsid w:val="00446A80"/>
    <w:rsid w:val="00446FD0"/>
    <w:rsid w:val="00447C36"/>
    <w:rsid w:val="00450FEC"/>
    <w:rsid w:val="00451DEC"/>
    <w:rsid w:val="00454C62"/>
    <w:rsid w:val="00455F34"/>
    <w:rsid w:val="004571BC"/>
    <w:rsid w:val="004612BB"/>
    <w:rsid w:val="004629C3"/>
    <w:rsid w:val="004633EC"/>
    <w:rsid w:val="00463859"/>
    <w:rsid w:val="00464760"/>
    <w:rsid w:val="004651B8"/>
    <w:rsid w:val="00465E13"/>
    <w:rsid w:val="00467ADE"/>
    <w:rsid w:val="00471C4C"/>
    <w:rsid w:val="00471D13"/>
    <w:rsid w:val="00475C4B"/>
    <w:rsid w:val="00475C9F"/>
    <w:rsid w:val="004762A0"/>
    <w:rsid w:val="00476370"/>
    <w:rsid w:val="00476900"/>
    <w:rsid w:val="00477187"/>
    <w:rsid w:val="0047798A"/>
    <w:rsid w:val="0048045B"/>
    <w:rsid w:val="004808E1"/>
    <w:rsid w:val="0048139F"/>
    <w:rsid w:val="00481655"/>
    <w:rsid w:val="00481715"/>
    <w:rsid w:val="00481F41"/>
    <w:rsid w:val="004836D4"/>
    <w:rsid w:val="00483D94"/>
    <w:rsid w:val="004858C8"/>
    <w:rsid w:val="004866F4"/>
    <w:rsid w:val="00486716"/>
    <w:rsid w:val="00487BAA"/>
    <w:rsid w:val="004900D2"/>
    <w:rsid w:val="00490381"/>
    <w:rsid w:val="00490B1C"/>
    <w:rsid w:val="004913B7"/>
    <w:rsid w:val="00491E43"/>
    <w:rsid w:val="0049210B"/>
    <w:rsid w:val="00493F20"/>
    <w:rsid w:val="004943C1"/>
    <w:rsid w:val="0049562C"/>
    <w:rsid w:val="00496AE2"/>
    <w:rsid w:val="004A0FEC"/>
    <w:rsid w:val="004A1029"/>
    <w:rsid w:val="004A225C"/>
    <w:rsid w:val="004A4346"/>
    <w:rsid w:val="004A5F3F"/>
    <w:rsid w:val="004A6747"/>
    <w:rsid w:val="004B3DF6"/>
    <w:rsid w:val="004B5165"/>
    <w:rsid w:val="004C069C"/>
    <w:rsid w:val="004C20EF"/>
    <w:rsid w:val="004C2A9D"/>
    <w:rsid w:val="004C5B4E"/>
    <w:rsid w:val="004C7AFA"/>
    <w:rsid w:val="004D0362"/>
    <w:rsid w:val="004D0F24"/>
    <w:rsid w:val="004D3B39"/>
    <w:rsid w:val="004D4108"/>
    <w:rsid w:val="004D4906"/>
    <w:rsid w:val="004D69B2"/>
    <w:rsid w:val="004D6EF7"/>
    <w:rsid w:val="004D75BA"/>
    <w:rsid w:val="004E13C3"/>
    <w:rsid w:val="004E15F0"/>
    <w:rsid w:val="004E18B5"/>
    <w:rsid w:val="004E2D19"/>
    <w:rsid w:val="004E45C3"/>
    <w:rsid w:val="004E6A1F"/>
    <w:rsid w:val="004E6F71"/>
    <w:rsid w:val="004E7615"/>
    <w:rsid w:val="004F2502"/>
    <w:rsid w:val="004F35BA"/>
    <w:rsid w:val="004F3864"/>
    <w:rsid w:val="004F45BB"/>
    <w:rsid w:val="004F60CD"/>
    <w:rsid w:val="00501C29"/>
    <w:rsid w:val="005024E1"/>
    <w:rsid w:val="00503128"/>
    <w:rsid w:val="00503887"/>
    <w:rsid w:val="00505103"/>
    <w:rsid w:val="00505248"/>
    <w:rsid w:val="005057C3"/>
    <w:rsid w:val="00505E86"/>
    <w:rsid w:val="00506189"/>
    <w:rsid w:val="00507F20"/>
    <w:rsid w:val="00511436"/>
    <w:rsid w:val="00511D8E"/>
    <w:rsid w:val="0051230E"/>
    <w:rsid w:val="00512580"/>
    <w:rsid w:val="005138F9"/>
    <w:rsid w:val="00515869"/>
    <w:rsid w:val="005205D5"/>
    <w:rsid w:val="00523A54"/>
    <w:rsid w:val="0052406A"/>
    <w:rsid w:val="00524071"/>
    <w:rsid w:val="00524704"/>
    <w:rsid w:val="00525208"/>
    <w:rsid w:val="00526130"/>
    <w:rsid w:val="00527C12"/>
    <w:rsid w:val="005301EA"/>
    <w:rsid w:val="00531D8A"/>
    <w:rsid w:val="005333E2"/>
    <w:rsid w:val="0053433E"/>
    <w:rsid w:val="00537D8D"/>
    <w:rsid w:val="00542375"/>
    <w:rsid w:val="0054269F"/>
    <w:rsid w:val="00542F9C"/>
    <w:rsid w:val="00543270"/>
    <w:rsid w:val="005434C0"/>
    <w:rsid w:val="005436AC"/>
    <w:rsid w:val="00543780"/>
    <w:rsid w:val="005450D4"/>
    <w:rsid w:val="005456A5"/>
    <w:rsid w:val="005456EF"/>
    <w:rsid w:val="00546F7C"/>
    <w:rsid w:val="005506DD"/>
    <w:rsid w:val="00550F99"/>
    <w:rsid w:val="005513C5"/>
    <w:rsid w:val="005530F8"/>
    <w:rsid w:val="00553416"/>
    <w:rsid w:val="0055366C"/>
    <w:rsid w:val="00556CBC"/>
    <w:rsid w:val="0055788C"/>
    <w:rsid w:val="00557CE1"/>
    <w:rsid w:val="005606C0"/>
    <w:rsid w:val="005610FA"/>
    <w:rsid w:val="0056464B"/>
    <w:rsid w:val="005666D1"/>
    <w:rsid w:val="005728C1"/>
    <w:rsid w:val="00573EAB"/>
    <w:rsid w:val="00575EEE"/>
    <w:rsid w:val="00576AA4"/>
    <w:rsid w:val="00577FF1"/>
    <w:rsid w:val="00581EFD"/>
    <w:rsid w:val="00584431"/>
    <w:rsid w:val="00586402"/>
    <w:rsid w:val="00586491"/>
    <w:rsid w:val="005864A2"/>
    <w:rsid w:val="005867D8"/>
    <w:rsid w:val="005871FB"/>
    <w:rsid w:val="005900DF"/>
    <w:rsid w:val="00591CA1"/>
    <w:rsid w:val="0059225D"/>
    <w:rsid w:val="00592E2E"/>
    <w:rsid w:val="0059423C"/>
    <w:rsid w:val="00594712"/>
    <w:rsid w:val="005960BF"/>
    <w:rsid w:val="0059628F"/>
    <w:rsid w:val="005A1756"/>
    <w:rsid w:val="005A21B9"/>
    <w:rsid w:val="005A2E36"/>
    <w:rsid w:val="005A2F75"/>
    <w:rsid w:val="005A384B"/>
    <w:rsid w:val="005A4976"/>
    <w:rsid w:val="005A5DBB"/>
    <w:rsid w:val="005B075C"/>
    <w:rsid w:val="005B2421"/>
    <w:rsid w:val="005B293E"/>
    <w:rsid w:val="005B3E44"/>
    <w:rsid w:val="005B53A5"/>
    <w:rsid w:val="005B59A9"/>
    <w:rsid w:val="005B63FE"/>
    <w:rsid w:val="005C1380"/>
    <w:rsid w:val="005C141D"/>
    <w:rsid w:val="005C1AAE"/>
    <w:rsid w:val="005C5580"/>
    <w:rsid w:val="005D0006"/>
    <w:rsid w:val="005D0F47"/>
    <w:rsid w:val="005D2ED2"/>
    <w:rsid w:val="005D3DCD"/>
    <w:rsid w:val="005D5071"/>
    <w:rsid w:val="005D6084"/>
    <w:rsid w:val="005D6779"/>
    <w:rsid w:val="005E2FA1"/>
    <w:rsid w:val="005E56D7"/>
    <w:rsid w:val="005F09B3"/>
    <w:rsid w:val="005F1BA2"/>
    <w:rsid w:val="005F3645"/>
    <w:rsid w:val="005F3D1D"/>
    <w:rsid w:val="005F5116"/>
    <w:rsid w:val="005F5B0D"/>
    <w:rsid w:val="005F6666"/>
    <w:rsid w:val="005F6FFE"/>
    <w:rsid w:val="0060001C"/>
    <w:rsid w:val="00600854"/>
    <w:rsid w:val="006011AE"/>
    <w:rsid w:val="00602A00"/>
    <w:rsid w:val="00602EB9"/>
    <w:rsid w:val="006030A2"/>
    <w:rsid w:val="006030B9"/>
    <w:rsid w:val="006034FD"/>
    <w:rsid w:val="0060357A"/>
    <w:rsid w:val="00603C61"/>
    <w:rsid w:val="00604345"/>
    <w:rsid w:val="00604354"/>
    <w:rsid w:val="0060516E"/>
    <w:rsid w:val="00605516"/>
    <w:rsid w:val="00606069"/>
    <w:rsid w:val="00606D1A"/>
    <w:rsid w:val="00607904"/>
    <w:rsid w:val="006104D2"/>
    <w:rsid w:val="00610744"/>
    <w:rsid w:val="00610DD2"/>
    <w:rsid w:val="0061249A"/>
    <w:rsid w:val="00612ACA"/>
    <w:rsid w:val="00613234"/>
    <w:rsid w:val="006146B4"/>
    <w:rsid w:val="0061518B"/>
    <w:rsid w:val="00615AFD"/>
    <w:rsid w:val="00616187"/>
    <w:rsid w:val="006200A0"/>
    <w:rsid w:val="006201A3"/>
    <w:rsid w:val="00620744"/>
    <w:rsid w:val="00620CA3"/>
    <w:rsid w:val="00620D31"/>
    <w:rsid w:val="00623D72"/>
    <w:rsid w:val="0062606B"/>
    <w:rsid w:val="00627402"/>
    <w:rsid w:val="00627828"/>
    <w:rsid w:val="0062785E"/>
    <w:rsid w:val="0063030B"/>
    <w:rsid w:val="00630824"/>
    <w:rsid w:val="006334FC"/>
    <w:rsid w:val="00633AD8"/>
    <w:rsid w:val="006340CF"/>
    <w:rsid w:val="00634A89"/>
    <w:rsid w:val="00634D7F"/>
    <w:rsid w:val="00637364"/>
    <w:rsid w:val="006379E2"/>
    <w:rsid w:val="0064169B"/>
    <w:rsid w:val="00641BBC"/>
    <w:rsid w:val="00642FFA"/>
    <w:rsid w:val="00643C01"/>
    <w:rsid w:val="00645743"/>
    <w:rsid w:val="00645832"/>
    <w:rsid w:val="0064761D"/>
    <w:rsid w:val="00647BA1"/>
    <w:rsid w:val="00651481"/>
    <w:rsid w:val="006516F7"/>
    <w:rsid w:val="00651F0F"/>
    <w:rsid w:val="006543B2"/>
    <w:rsid w:val="00657C81"/>
    <w:rsid w:val="00661858"/>
    <w:rsid w:val="00663134"/>
    <w:rsid w:val="00663216"/>
    <w:rsid w:val="00665426"/>
    <w:rsid w:val="006656FA"/>
    <w:rsid w:val="00666221"/>
    <w:rsid w:val="0066623C"/>
    <w:rsid w:val="00666835"/>
    <w:rsid w:val="00667293"/>
    <w:rsid w:val="00667BBF"/>
    <w:rsid w:val="00670B51"/>
    <w:rsid w:val="006718DD"/>
    <w:rsid w:val="006721DE"/>
    <w:rsid w:val="00674295"/>
    <w:rsid w:val="00674CE3"/>
    <w:rsid w:val="0067563D"/>
    <w:rsid w:val="0067586C"/>
    <w:rsid w:val="00675C95"/>
    <w:rsid w:val="006812C2"/>
    <w:rsid w:val="0068150C"/>
    <w:rsid w:val="0068163C"/>
    <w:rsid w:val="006818B0"/>
    <w:rsid w:val="006818D6"/>
    <w:rsid w:val="00681923"/>
    <w:rsid w:val="006822AC"/>
    <w:rsid w:val="006836A6"/>
    <w:rsid w:val="0068386C"/>
    <w:rsid w:val="006842BD"/>
    <w:rsid w:val="00684522"/>
    <w:rsid w:val="006846DD"/>
    <w:rsid w:val="006856C2"/>
    <w:rsid w:val="00685C3E"/>
    <w:rsid w:val="00686575"/>
    <w:rsid w:val="006868CB"/>
    <w:rsid w:val="00690558"/>
    <w:rsid w:val="00690B39"/>
    <w:rsid w:val="0069105C"/>
    <w:rsid w:val="00691D10"/>
    <w:rsid w:val="00692D15"/>
    <w:rsid w:val="006932C8"/>
    <w:rsid w:val="0069657D"/>
    <w:rsid w:val="006A00F9"/>
    <w:rsid w:val="006A1CC5"/>
    <w:rsid w:val="006A2F1F"/>
    <w:rsid w:val="006A4CAD"/>
    <w:rsid w:val="006A5C97"/>
    <w:rsid w:val="006A5EEB"/>
    <w:rsid w:val="006A77A5"/>
    <w:rsid w:val="006B08DC"/>
    <w:rsid w:val="006B2FCB"/>
    <w:rsid w:val="006B314D"/>
    <w:rsid w:val="006B4038"/>
    <w:rsid w:val="006B52C4"/>
    <w:rsid w:val="006B6617"/>
    <w:rsid w:val="006B7EF3"/>
    <w:rsid w:val="006C34DC"/>
    <w:rsid w:val="006C36EC"/>
    <w:rsid w:val="006C3847"/>
    <w:rsid w:val="006C5838"/>
    <w:rsid w:val="006C6252"/>
    <w:rsid w:val="006C6F66"/>
    <w:rsid w:val="006D0853"/>
    <w:rsid w:val="006D0B49"/>
    <w:rsid w:val="006D1068"/>
    <w:rsid w:val="006D1185"/>
    <w:rsid w:val="006D120D"/>
    <w:rsid w:val="006D27E9"/>
    <w:rsid w:val="006D3298"/>
    <w:rsid w:val="006D3CA2"/>
    <w:rsid w:val="006D5FB8"/>
    <w:rsid w:val="006D68AD"/>
    <w:rsid w:val="006D7153"/>
    <w:rsid w:val="006D79AE"/>
    <w:rsid w:val="006E0D32"/>
    <w:rsid w:val="006E1B2F"/>
    <w:rsid w:val="006E3160"/>
    <w:rsid w:val="006E4F11"/>
    <w:rsid w:val="006E52B2"/>
    <w:rsid w:val="006E558A"/>
    <w:rsid w:val="006E73F3"/>
    <w:rsid w:val="006F5803"/>
    <w:rsid w:val="006F66A4"/>
    <w:rsid w:val="006F7A64"/>
    <w:rsid w:val="006F7F6C"/>
    <w:rsid w:val="0070020E"/>
    <w:rsid w:val="00702F74"/>
    <w:rsid w:val="00703955"/>
    <w:rsid w:val="00703D92"/>
    <w:rsid w:val="00705547"/>
    <w:rsid w:val="00705BE4"/>
    <w:rsid w:val="007060A4"/>
    <w:rsid w:val="00706617"/>
    <w:rsid w:val="00706F09"/>
    <w:rsid w:val="00706FEC"/>
    <w:rsid w:val="007071A4"/>
    <w:rsid w:val="00712709"/>
    <w:rsid w:val="00712DF5"/>
    <w:rsid w:val="00714E17"/>
    <w:rsid w:val="007179CB"/>
    <w:rsid w:val="0072125E"/>
    <w:rsid w:val="00722A0A"/>
    <w:rsid w:val="00725A61"/>
    <w:rsid w:val="00726042"/>
    <w:rsid w:val="007260A7"/>
    <w:rsid w:val="0072623D"/>
    <w:rsid w:val="0072690E"/>
    <w:rsid w:val="0072763E"/>
    <w:rsid w:val="00727E97"/>
    <w:rsid w:val="00731BB3"/>
    <w:rsid w:val="007332CF"/>
    <w:rsid w:val="007357EB"/>
    <w:rsid w:val="00735EF2"/>
    <w:rsid w:val="00736796"/>
    <w:rsid w:val="0074030E"/>
    <w:rsid w:val="00744C81"/>
    <w:rsid w:val="00745494"/>
    <w:rsid w:val="00745638"/>
    <w:rsid w:val="0074626E"/>
    <w:rsid w:val="00747D27"/>
    <w:rsid w:val="00751898"/>
    <w:rsid w:val="00751FD0"/>
    <w:rsid w:val="00752A3E"/>
    <w:rsid w:val="007576A4"/>
    <w:rsid w:val="00761799"/>
    <w:rsid w:val="0076265E"/>
    <w:rsid w:val="00762AD1"/>
    <w:rsid w:val="00763EBE"/>
    <w:rsid w:val="00764342"/>
    <w:rsid w:val="0076452B"/>
    <w:rsid w:val="00766297"/>
    <w:rsid w:val="007675DC"/>
    <w:rsid w:val="0076787E"/>
    <w:rsid w:val="00770544"/>
    <w:rsid w:val="0077149C"/>
    <w:rsid w:val="00771A5E"/>
    <w:rsid w:val="007727D6"/>
    <w:rsid w:val="007728BD"/>
    <w:rsid w:val="0077353F"/>
    <w:rsid w:val="007752AD"/>
    <w:rsid w:val="0077615F"/>
    <w:rsid w:val="00776625"/>
    <w:rsid w:val="00776E07"/>
    <w:rsid w:val="00777D44"/>
    <w:rsid w:val="00777F81"/>
    <w:rsid w:val="00780C3C"/>
    <w:rsid w:val="00780E57"/>
    <w:rsid w:val="00780F80"/>
    <w:rsid w:val="0078175D"/>
    <w:rsid w:val="00782773"/>
    <w:rsid w:val="00783581"/>
    <w:rsid w:val="00783913"/>
    <w:rsid w:val="00783B56"/>
    <w:rsid w:val="007846B3"/>
    <w:rsid w:val="00784E86"/>
    <w:rsid w:val="00786E1A"/>
    <w:rsid w:val="00791EC7"/>
    <w:rsid w:val="00792A0B"/>
    <w:rsid w:val="00792F63"/>
    <w:rsid w:val="00794B88"/>
    <w:rsid w:val="007963CB"/>
    <w:rsid w:val="00797F7B"/>
    <w:rsid w:val="007A0BC9"/>
    <w:rsid w:val="007A11E6"/>
    <w:rsid w:val="007A271B"/>
    <w:rsid w:val="007A6473"/>
    <w:rsid w:val="007A6D74"/>
    <w:rsid w:val="007A7850"/>
    <w:rsid w:val="007A7BB3"/>
    <w:rsid w:val="007A7FBE"/>
    <w:rsid w:val="007B0984"/>
    <w:rsid w:val="007B0F73"/>
    <w:rsid w:val="007B29FA"/>
    <w:rsid w:val="007B2E45"/>
    <w:rsid w:val="007B38FD"/>
    <w:rsid w:val="007B4714"/>
    <w:rsid w:val="007C108F"/>
    <w:rsid w:val="007C3C77"/>
    <w:rsid w:val="007C4992"/>
    <w:rsid w:val="007C4E1B"/>
    <w:rsid w:val="007C5617"/>
    <w:rsid w:val="007C64CB"/>
    <w:rsid w:val="007C76BF"/>
    <w:rsid w:val="007C7978"/>
    <w:rsid w:val="007D2C76"/>
    <w:rsid w:val="007D663B"/>
    <w:rsid w:val="007E2EBE"/>
    <w:rsid w:val="007E3DF0"/>
    <w:rsid w:val="007E45A7"/>
    <w:rsid w:val="007E4E54"/>
    <w:rsid w:val="007E6336"/>
    <w:rsid w:val="007E7345"/>
    <w:rsid w:val="007E78C5"/>
    <w:rsid w:val="007F18FC"/>
    <w:rsid w:val="007F19DA"/>
    <w:rsid w:val="007F1B11"/>
    <w:rsid w:val="007F240F"/>
    <w:rsid w:val="007F2F23"/>
    <w:rsid w:val="007F3858"/>
    <w:rsid w:val="007F3978"/>
    <w:rsid w:val="007F47B7"/>
    <w:rsid w:val="007F5319"/>
    <w:rsid w:val="007F5351"/>
    <w:rsid w:val="007F67A0"/>
    <w:rsid w:val="007F6F04"/>
    <w:rsid w:val="007F77AE"/>
    <w:rsid w:val="00801EEA"/>
    <w:rsid w:val="0080257E"/>
    <w:rsid w:val="008037BE"/>
    <w:rsid w:val="00804624"/>
    <w:rsid w:val="00804D50"/>
    <w:rsid w:val="0080542E"/>
    <w:rsid w:val="00805BFF"/>
    <w:rsid w:val="00807582"/>
    <w:rsid w:val="008075FE"/>
    <w:rsid w:val="0081203F"/>
    <w:rsid w:val="00812CFE"/>
    <w:rsid w:val="0081434E"/>
    <w:rsid w:val="008168EF"/>
    <w:rsid w:val="00816C0A"/>
    <w:rsid w:val="00816F45"/>
    <w:rsid w:val="00817655"/>
    <w:rsid w:val="00820EE6"/>
    <w:rsid w:val="00821D73"/>
    <w:rsid w:val="00822263"/>
    <w:rsid w:val="008232B6"/>
    <w:rsid w:val="00823357"/>
    <w:rsid w:val="00823C04"/>
    <w:rsid w:val="00825270"/>
    <w:rsid w:val="008256E8"/>
    <w:rsid w:val="00826DA5"/>
    <w:rsid w:val="008276D8"/>
    <w:rsid w:val="00827E27"/>
    <w:rsid w:val="00832EA1"/>
    <w:rsid w:val="00833F57"/>
    <w:rsid w:val="00834DCE"/>
    <w:rsid w:val="0083655E"/>
    <w:rsid w:val="00836960"/>
    <w:rsid w:val="00841900"/>
    <w:rsid w:val="00841B61"/>
    <w:rsid w:val="00842594"/>
    <w:rsid w:val="00842F86"/>
    <w:rsid w:val="00843397"/>
    <w:rsid w:val="00845C18"/>
    <w:rsid w:val="008548A0"/>
    <w:rsid w:val="00855A8D"/>
    <w:rsid w:val="00855E29"/>
    <w:rsid w:val="00855FD6"/>
    <w:rsid w:val="00856041"/>
    <w:rsid w:val="0085647D"/>
    <w:rsid w:val="008619B3"/>
    <w:rsid w:val="008629D2"/>
    <w:rsid w:val="00864C36"/>
    <w:rsid w:val="008652F3"/>
    <w:rsid w:val="008709E3"/>
    <w:rsid w:val="00871778"/>
    <w:rsid w:val="00871B32"/>
    <w:rsid w:val="00872C01"/>
    <w:rsid w:val="00875781"/>
    <w:rsid w:val="00875D86"/>
    <w:rsid w:val="00876CA3"/>
    <w:rsid w:val="00880B71"/>
    <w:rsid w:val="00881163"/>
    <w:rsid w:val="0088267F"/>
    <w:rsid w:val="00882AB9"/>
    <w:rsid w:val="008831B4"/>
    <w:rsid w:val="008840BD"/>
    <w:rsid w:val="008931CD"/>
    <w:rsid w:val="00894B03"/>
    <w:rsid w:val="00894E1F"/>
    <w:rsid w:val="008976F7"/>
    <w:rsid w:val="00897769"/>
    <w:rsid w:val="008A2EAC"/>
    <w:rsid w:val="008A3C2D"/>
    <w:rsid w:val="008A47D4"/>
    <w:rsid w:val="008A4F69"/>
    <w:rsid w:val="008A588B"/>
    <w:rsid w:val="008A6013"/>
    <w:rsid w:val="008A7282"/>
    <w:rsid w:val="008B1E4C"/>
    <w:rsid w:val="008B366D"/>
    <w:rsid w:val="008B42A2"/>
    <w:rsid w:val="008B43D3"/>
    <w:rsid w:val="008B65C0"/>
    <w:rsid w:val="008C0253"/>
    <w:rsid w:val="008C0642"/>
    <w:rsid w:val="008C084C"/>
    <w:rsid w:val="008C2191"/>
    <w:rsid w:val="008C22DD"/>
    <w:rsid w:val="008C252A"/>
    <w:rsid w:val="008C2D13"/>
    <w:rsid w:val="008C3C86"/>
    <w:rsid w:val="008C4A38"/>
    <w:rsid w:val="008C5209"/>
    <w:rsid w:val="008C5393"/>
    <w:rsid w:val="008C621C"/>
    <w:rsid w:val="008C6483"/>
    <w:rsid w:val="008C67D1"/>
    <w:rsid w:val="008D0526"/>
    <w:rsid w:val="008D1845"/>
    <w:rsid w:val="008D2D80"/>
    <w:rsid w:val="008D35E5"/>
    <w:rsid w:val="008D55B1"/>
    <w:rsid w:val="008D6DCC"/>
    <w:rsid w:val="008D7DDF"/>
    <w:rsid w:val="008E3DA8"/>
    <w:rsid w:val="008E3F23"/>
    <w:rsid w:val="008E54EB"/>
    <w:rsid w:val="008E641F"/>
    <w:rsid w:val="008F2111"/>
    <w:rsid w:val="008F3922"/>
    <w:rsid w:val="008F3B77"/>
    <w:rsid w:val="008F401F"/>
    <w:rsid w:val="008F608D"/>
    <w:rsid w:val="008F7CC7"/>
    <w:rsid w:val="00901F86"/>
    <w:rsid w:val="009034A7"/>
    <w:rsid w:val="00904923"/>
    <w:rsid w:val="00905F30"/>
    <w:rsid w:val="00906115"/>
    <w:rsid w:val="00906417"/>
    <w:rsid w:val="00906430"/>
    <w:rsid w:val="00911E67"/>
    <w:rsid w:val="00920BC8"/>
    <w:rsid w:val="00920D9D"/>
    <w:rsid w:val="00921060"/>
    <w:rsid w:val="00922AEA"/>
    <w:rsid w:val="00922BB6"/>
    <w:rsid w:val="00923BB7"/>
    <w:rsid w:val="0092521A"/>
    <w:rsid w:val="009269BA"/>
    <w:rsid w:val="00926EB3"/>
    <w:rsid w:val="0093031D"/>
    <w:rsid w:val="009303A7"/>
    <w:rsid w:val="009319C2"/>
    <w:rsid w:val="0093247F"/>
    <w:rsid w:val="0093337F"/>
    <w:rsid w:val="00934041"/>
    <w:rsid w:val="009362B8"/>
    <w:rsid w:val="00936B19"/>
    <w:rsid w:val="0094122D"/>
    <w:rsid w:val="009419F9"/>
    <w:rsid w:val="00944F7C"/>
    <w:rsid w:val="0094697D"/>
    <w:rsid w:val="00947457"/>
    <w:rsid w:val="0094796B"/>
    <w:rsid w:val="0095101A"/>
    <w:rsid w:val="009525DE"/>
    <w:rsid w:val="00953F61"/>
    <w:rsid w:val="0096078C"/>
    <w:rsid w:val="009610D8"/>
    <w:rsid w:val="00961B1A"/>
    <w:rsid w:val="00962CB4"/>
    <w:rsid w:val="009654E4"/>
    <w:rsid w:val="00966751"/>
    <w:rsid w:val="00970B50"/>
    <w:rsid w:val="00970ED4"/>
    <w:rsid w:val="00971B3E"/>
    <w:rsid w:val="00975917"/>
    <w:rsid w:val="00977129"/>
    <w:rsid w:val="009802C9"/>
    <w:rsid w:val="0098098D"/>
    <w:rsid w:val="00980F6C"/>
    <w:rsid w:val="0098115D"/>
    <w:rsid w:val="00982F9A"/>
    <w:rsid w:val="00983E13"/>
    <w:rsid w:val="00984F48"/>
    <w:rsid w:val="009851EB"/>
    <w:rsid w:val="0098555C"/>
    <w:rsid w:val="00985D90"/>
    <w:rsid w:val="00986AB1"/>
    <w:rsid w:val="00987A87"/>
    <w:rsid w:val="00990663"/>
    <w:rsid w:val="0099083A"/>
    <w:rsid w:val="0099236E"/>
    <w:rsid w:val="00992A77"/>
    <w:rsid w:val="00993884"/>
    <w:rsid w:val="009940C6"/>
    <w:rsid w:val="00994382"/>
    <w:rsid w:val="00994747"/>
    <w:rsid w:val="00997B43"/>
    <w:rsid w:val="009A0C87"/>
    <w:rsid w:val="009A2C75"/>
    <w:rsid w:val="009A59FF"/>
    <w:rsid w:val="009B1451"/>
    <w:rsid w:val="009B1A41"/>
    <w:rsid w:val="009B2269"/>
    <w:rsid w:val="009B486A"/>
    <w:rsid w:val="009B5685"/>
    <w:rsid w:val="009B5C71"/>
    <w:rsid w:val="009B6282"/>
    <w:rsid w:val="009B62DA"/>
    <w:rsid w:val="009B64B4"/>
    <w:rsid w:val="009B67B7"/>
    <w:rsid w:val="009C0204"/>
    <w:rsid w:val="009C0269"/>
    <w:rsid w:val="009C3101"/>
    <w:rsid w:val="009C3515"/>
    <w:rsid w:val="009C36F8"/>
    <w:rsid w:val="009C4668"/>
    <w:rsid w:val="009C5779"/>
    <w:rsid w:val="009C6A08"/>
    <w:rsid w:val="009C706A"/>
    <w:rsid w:val="009C7C98"/>
    <w:rsid w:val="009C7FAC"/>
    <w:rsid w:val="009D0BDD"/>
    <w:rsid w:val="009D0C71"/>
    <w:rsid w:val="009D414D"/>
    <w:rsid w:val="009D4EA1"/>
    <w:rsid w:val="009D5F3B"/>
    <w:rsid w:val="009D7586"/>
    <w:rsid w:val="009E0D0E"/>
    <w:rsid w:val="009E2E94"/>
    <w:rsid w:val="009E30DA"/>
    <w:rsid w:val="009E3FD7"/>
    <w:rsid w:val="009E4F08"/>
    <w:rsid w:val="009E583C"/>
    <w:rsid w:val="009E7353"/>
    <w:rsid w:val="009E781C"/>
    <w:rsid w:val="009F192F"/>
    <w:rsid w:val="009F5AF5"/>
    <w:rsid w:val="009F5EA1"/>
    <w:rsid w:val="009F5F09"/>
    <w:rsid w:val="009F7DA8"/>
    <w:rsid w:val="009F7E14"/>
    <w:rsid w:val="00A01BF1"/>
    <w:rsid w:val="00A01F06"/>
    <w:rsid w:val="00A02EA1"/>
    <w:rsid w:val="00A033CF"/>
    <w:rsid w:val="00A03536"/>
    <w:rsid w:val="00A04624"/>
    <w:rsid w:val="00A0741B"/>
    <w:rsid w:val="00A1361E"/>
    <w:rsid w:val="00A16DB2"/>
    <w:rsid w:val="00A20D15"/>
    <w:rsid w:val="00A23CE5"/>
    <w:rsid w:val="00A25CEA"/>
    <w:rsid w:val="00A25E24"/>
    <w:rsid w:val="00A3138B"/>
    <w:rsid w:val="00A31D57"/>
    <w:rsid w:val="00A335B5"/>
    <w:rsid w:val="00A336F9"/>
    <w:rsid w:val="00A33A3B"/>
    <w:rsid w:val="00A3497B"/>
    <w:rsid w:val="00A349FA"/>
    <w:rsid w:val="00A36127"/>
    <w:rsid w:val="00A3648D"/>
    <w:rsid w:val="00A37423"/>
    <w:rsid w:val="00A379D7"/>
    <w:rsid w:val="00A404A3"/>
    <w:rsid w:val="00A40600"/>
    <w:rsid w:val="00A41D4B"/>
    <w:rsid w:val="00A43048"/>
    <w:rsid w:val="00A43987"/>
    <w:rsid w:val="00A439D2"/>
    <w:rsid w:val="00A4432E"/>
    <w:rsid w:val="00A46743"/>
    <w:rsid w:val="00A47423"/>
    <w:rsid w:val="00A47E49"/>
    <w:rsid w:val="00A513DC"/>
    <w:rsid w:val="00A52294"/>
    <w:rsid w:val="00A530F4"/>
    <w:rsid w:val="00A53863"/>
    <w:rsid w:val="00A5653C"/>
    <w:rsid w:val="00A56DE3"/>
    <w:rsid w:val="00A60623"/>
    <w:rsid w:val="00A62989"/>
    <w:rsid w:val="00A65737"/>
    <w:rsid w:val="00A706C1"/>
    <w:rsid w:val="00A7075C"/>
    <w:rsid w:val="00A70B62"/>
    <w:rsid w:val="00A711DD"/>
    <w:rsid w:val="00A718E6"/>
    <w:rsid w:val="00A730EC"/>
    <w:rsid w:val="00A735C6"/>
    <w:rsid w:val="00A755EF"/>
    <w:rsid w:val="00A75B25"/>
    <w:rsid w:val="00A760F8"/>
    <w:rsid w:val="00A76572"/>
    <w:rsid w:val="00A766CE"/>
    <w:rsid w:val="00A7687F"/>
    <w:rsid w:val="00A769BB"/>
    <w:rsid w:val="00A76EEA"/>
    <w:rsid w:val="00A80C80"/>
    <w:rsid w:val="00A810F9"/>
    <w:rsid w:val="00A8201C"/>
    <w:rsid w:val="00A8267F"/>
    <w:rsid w:val="00A83EB1"/>
    <w:rsid w:val="00A846F5"/>
    <w:rsid w:val="00A85650"/>
    <w:rsid w:val="00A872B5"/>
    <w:rsid w:val="00A91C3B"/>
    <w:rsid w:val="00A91E48"/>
    <w:rsid w:val="00A93123"/>
    <w:rsid w:val="00A93A58"/>
    <w:rsid w:val="00A9535C"/>
    <w:rsid w:val="00A969EE"/>
    <w:rsid w:val="00A96ECB"/>
    <w:rsid w:val="00A97A8C"/>
    <w:rsid w:val="00AA00FD"/>
    <w:rsid w:val="00AA0585"/>
    <w:rsid w:val="00AA10DD"/>
    <w:rsid w:val="00AA3779"/>
    <w:rsid w:val="00AA45AB"/>
    <w:rsid w:val="00AA6376"/>
    <w:rsid w:val="00AA6F9D"/>
    <w:rsid w:val="00AA7607"/>
    <w:rsid w:val="00AA76FF"/>
    <w:rsid w:val="00AB0A5B"/>
    <w:rsid w:val="00AB1054"/>
    <w:rsid w:val="00AB10C1"/>
    <w:rsid w:val="00AB1C32"/>
    <w:rsid w:val="00AB208F"/>
    <w:rsid w:val="00AB26DA"/>
    <w:rsid w:val="00AB346D"/>
    <w:rsid w:val="00AB456A"/>
    <w:rsid w:val="00AB45C5"/>
    <w:rsid w:val="00AB52F5"/>
    <w:rsid w:val="00AB565A"/>
    <w:rsid w:val="00AB6950"/>
    <w:rsid w:val="00AB73BE"/>
    <w:rsid w:val="00AC1F28"/>
    <w:rsid w:val="00AC2A93"/>
    <w:rsid w:val="00AC39C6"/>
    <w:rsid w:val="00AC5B9D"/>
    <w:rsid w:val="00AC7077"/>
    <w:rsid w:val="00AC75BD"/>
    <w:rsid w:val="00AD0158"/>
    <w:rsid w:val="00AD0C62"/>
    <w:rsid w:val="00AD1D59"/>
    <w:rsid w:val="00AD3DA7"/>
    <w:rsid w:val="00AD477A"/>
    <w:rsid w:val="00AD5D30"/>
    <w:rsid w:val="00AD70B5"/>
    <w:rsid w:val="00AD770F"/>
    <w:rsid w:val="00AE0CBB"/>
    <w:rsid w:val="00AE0D67"/>
    <w:rsid w:val="00AE380A"/>
    <w:rsid w:val="00AE44EA"/>
    <w:rsid w:val="00AE5086"/>
    <w:rsid w:val="00AE69C6"/>
    <w:rsid w:val="00AF169D"/>
    <w:rsid w:val="00AF2427"/>
    <w:rsid w:val="00AF397D"/>
    <w:rsid w:val="00AF42D3"/>
    <w:rsid w:val="00AF4A0F"/>
    <w:rsid w:val="00AF6932"/>
    <w:rsid w:val="00B00179"/>
    <w:rsid w:val="00B00D0F"/>
    <w:rsid w:val="00B04B35"/>
    <w:rsid w:val="00B070EE"/>
    <w:rsid w:val="00B07C02"/>
    <w:rsid w:val="00B111ED"/>
    <w:rsid w:val="00B11799"/>
    <w:rsid w:val="00B11B2B"/>
    <w:rsid w:val="00B12363"/>
    <w:rsid w:val="00B127AB"/>
    <w:rsid w:val="00B13CDD"/>
    <w:rsid w:val="00B14D36"/>
    <w:rsid w:val="00B1581C"/>
    <w:rsid w:val="00B16A6A"/>
    <w:rsid w:val="00B213FB"/>
    <w:rsid w:val="00B23663"/>
    <w:rsid w:val="00B23CBE"/>
    <w:rsid w:val="00B25F7F"/>
    <w:rsid w:val="00B2694D"/>
    <w:rsid w:val="00B26C8F"/>
    <w:rsid w:val="00B26F9E"/>
    <w:rsid w:val="00B27C3F"/>
    <w:rsid w:val="00B30336"/>
    <w:rsid w:val="00B30828"/>
    <w:rsid w:val="00B31180"/>
    <w:rsid w:val="00B32794"/>
    <w:rsid w:val="00B33DAD"/>
    <w:rsid w:val="00B342BB"/>
    <w:rsid w:val="00B34D67"/>
    <w:rsid w:val="00B36604"/>
    <w:rsid w:val="00B4193A"/>
    <w:rsid w:val="00B42108"/>
    <w:rsid w:val="00B421EB"/>
    <w:rsid w:val="00B42C01"/>
    <w:rsid w:val="00B4323A"/>
    <w:rsid w:val="00B46EB2"/>
    <w:rsid w:val="00B54813"/>
    <w:rsid w:val="00B57BD7"/>
    <w:rsid w:val="00B60F51"/>
    <w:rsid w:val="00B61270"/>
    <w:rsid w:val="00B62699"/>
    <w:rsid w:val="00B62BC4"/>
    <w:rsid w:val="00B65A93"/>
    <w:rsid w:val="00B66959"/>
    <w:rsid w:val="00B66A73"/>
    <w:rsid w:val="00B677C2"/>
    <w:rsid w:val="00B70C5B"/>
    <w:rsid w:val="00B732C1"/>
    <w:rsid w:val="00B736D0"/>
    <w:rsid w:val="00B73B72"/>
    <w:rsid w:val="00B748FB"/>
    <w:rsid w:val="00B75728"/>
    <w:rsid w:val="00B768BE"/>
    <w:rsid w:val="00B76FB0"/>
    <w:rsid w:val="00B77EC4"/>
    <w:rsid w:val="00B80F13"/>
    <w:rsid w:val="00B81854"/>
    <w:rsid w:val="00B82779"/>
    <w:rsid w:val="00B82FC7"/>
    <w:rsid w:val="00B83326"/>
    <w:rsid w:val="00B83BDA"/>
    <w:rsid w:val="00B84F7D"/>
    <w:rsid w:val="00B853CE"/>
    <w:rsid w:val="00B86E2C"/>
    <w:rsid w:val="00B87F42"/>
    <w:rsid w:val="00B914AA"/>
    <w:rsid w:val="00B9278B"/>
    <w:rsid w:val="00B94269"/>
    <w:rsid w:val="00B94694"/>
    <w:rsid w:val="00B94771"/>
    <w:rsid w:val="00B96616"/>
    <w:rsid w:val="00BA0BC2"/>
    <w:rsid w:val="00BA1402"/>
    <w:rsid w:val="00BA1F60"/>
    <w:rsid w:val="00BA28BE"/>
    <w:rsid w:val="00BA311E"/>
    <w:rsid w:val="00BA3A4C"/>
    <w:rsid w:val="00BA3DCB"/>
    <w:rsid w:val="00BA58C3"/>
    <w:rsid w:val="00BA7154"/>
    <w:rsid w:val="00BB0582"/>
    <w:rsid w:val="00BB0E47"/>
    <w:rsid w:val="00BB1750"/>
    <w:rsid w:val="00BB278B"/>
    <w:rsid w:val="00BB4034"/>
    <w:rsid w:val="00BB669C"/>
    <w:rsid w:val="00BB7517"/>
    <w:rsid w:val="00BB7FFD"/>
    <w:rsid w:val="00BC0C8D"/>
    <w:rsid w:val="00BC5ED0"/>
    <w:rsid w:val="00BC79A5"/>
    <w:rsid w:val="00BC7FBD"/>
    <w:rsid w:val="00BD12C9"/>
    <w:rsid w:val="00BD2DAF"/>
    <w:rsid w:val="00BD3BDE"/>
    <w:rsid w:val="00BD3E56"/>
    <w:rsid w:val="00BD6A67"/>
    <w:rsid w:val="00BD7511"/>
    <w:rsid w:val="00BD7C2C"/>
    <w:rsid w:val="00BE1E51"/>
    <w:rsid w:val="00BE26CD"/>
    <w:rsid w:val="00BE4933"/>
    <w:rsid w:val="00BE4D5A"/>
    <w:rsid w:val="00BE4F85"/>
    <w:rsid w:val="00BE7AC6"/>
    <w:rsid w:val="00BE7FE7"/>
    <w:rsid w:val="00BF0818"/>
    <w:rsid w:val="00BF399E"/>
    <w:rsid w:val="00BF4543"/>
    <w:rsid w:val="00BF5EE4"/>
    <w:rsid w:val="00BF66DA"/>
    <w:rsid w:val="00C0376F"/>
    <w:rsid w:val="00C040BA"/>
    <w:rsid w:val="00C044DA"/>
    <w:rsid w:val="00C05A3C"/>
    <w:rsid w:val="00C05B32"/>
    <w:rsid w:val="00C0679A"/>
    <w:rsid w:val="00C06D2B"/>
    <w:rsid w:val="00C07216"/>
    <w:rsid w:val="00C0783B"/>
    <w:rsid w:val="00C10373"/>
    <w:rsid w:val="00C11FA0"/>
    <w:rsid w:val="00C12E51"/>
    <w:rsid w:val="00C131FD"/>
    <w:rsid w:val="00C13513"/>
    <w:rsid w:val="00C13B3F"/>
    <w:rsid w:val="00C13B40"/>
    <w:rsid w:val="00C165CA"/>
    <w:rsid w:val="00C20338"/>
    <w:rsid w:val="00C20C37"/>
    <w:rsid w:val="00C2178C"/>
    <w:rsid w:val="00C21A20"/>
    <w:rsid w:val="00C27B7E"/>
    <w:rsid w:val="00C305BD"/>
    <w:rsid w:val="00C3286F"/>
    <w:rsid w:val="00C339C3"/>
    <w:rsid w:val="00C34B51"/>
    <w:rsid w:val="00C363ED"/>
    <w:rsid w:val="00C40C66"/>
    <w:rsid w:val="00C40F18"/>
    <w:rsid w:val="00C4199D"/>
    <w:rsid w:val="00C44970"/>
    <w:rsid w:val="00C46CE3"/>
    <w:rsid w:val="00C47109"/>
    <w:rsid w:val="00C47C48"/>
    <w:rsid w:val="00C51679"/>
    <w:rsid w:val="00C5384E"/>
    <w:rsid w:val="00C53A98"/>
    <w:rsid w:val="00C54EEC"/>
    <w:rsid w:val="00C5544B"/>
    <w:rsid w:val="00C563D5"/>
    <w:rsid w:val="00C5678A"/>
    <w:rsid w:val="00C568FE"/>
    <w:rsid w:val="00C56A9C"/>
    <w:rsid w:val="00C606C4"/>
    <w:rsid w:val="00C607F6"/>
    <w:rsid w:val="00C612B2"/>
    <w:rsid w:val="00C6190E"/>
    <w:rsid w:val="00C61F24"/>
    <w:rsid w:val="00C620B1"/>
    <w:rsid w:val="00C62C04"/>
    <w:rsid w:val="00C6630F"/>
    <w:rsid w:val="00C66551"/>
    <w:rsid w:val="00C66CAE"/>
    <w:rsid w:val="00C702ED"/>
    <w:rsid w:val="00C7113B"/>
    <w:rsid w:val="00C711FF"/>
    <w:rsid w:val="00C71811"/>
    <w:rsid w:val="00C71E00"/>
    <w:rsid w:val="00C726C2"/>
    <w:rsid w:val="00C72A0A"/>
    <w:rsid w:val="00C73272"/>
    <w:rsid w:val="00C73A00"/>
    <w:rsid w:val="00C73A38"/>
    <w:rsid w:val="00C75899"/>
    <w:rsid w:val="00C779B8"/>
    <w:rsid w:val="00C77B60"/>
    <w:rsid w:val="00C80067"/>
    <w:rsid w:val="00C80499"/>
    <w:rsid w:val="00C8164F"/>
    <w:rsid w:val="00C8260E"/>
    <w:rsid w:val="00C83100"/>
    <w:rsid w:val="00C85A5C"/>
    <w:rsid w:val="00C86FA1"/>
    <w:rsid w:val="00C909A2"/>
    <w:rsid w:val="00C9236A"/>
    <w:rsid w:val="00C9331A"/>
    <w:rsid w:val="00C93ED2"/>
    <w:rsid w:val="00C94A1E"/>
    <w:rsid w:val="00C9523C"/>
    <w:rsid w:val="00C96333"/>
    <w:rsid w:val="00C97AA8"/>
    <w:rsid w:val="00CA1729"/>
    <w:rsid w:val="00CA1AE2"/>
    <w:rsid w:val="00CA1D14"/>
    <w:rsid w:val="00CA2B85"/>
    <w:rsid w:val="00CA2EC0"/>
    <w:rsid w:val="00CA3C18"/>
    <w:rsid w:val="00CA608C"/>
    <w:rsid w:val="00CA6A6E"/>
    <w:rsid w:val="00CB009B"/>
    <w:rsid w:val="00CB1343"/>
    <w:rsid w:val="00CB3DDE"/>
    <w:rsid w:val="00CB49F3"/>
    <w:rsid w:val="00CB4B5F"/>
    <w:rsid w:val="00CB4F67"/>
    <w:rsid w:val="00CB5DD2"/>
    <w:rsid w:val="00CB74FD"/>
    <w:rsid w:val="00CC34D6"/>
    <w:rsid w:val="00CC46E3"/>
    <w:rsid w:val="00CC5581"/>
    <w:rsid w:val="00CC5B11"/>
    <w:rsid w:val="00CC5FBF"/>
    <w:rsid w:val="00CC6836"/>
    <w:rsid w:val="00CC7F40"/>
    <w:rsid w:val="00CD0543"/>
    <w:rsid w:val="00CD0757"/>
    <w:rsid w:val="00CD1AFD"/>
    <w:rsid w:val="00CD31F2"/>
    <w:rsid w:val="00CD382D"/>
    <w:rsid w:val="00CD60F6"/>
    <w:rsid w:val="00CD782E"/>
    <w:rsid w:val="00CE05B3"/>
    <w:rsid w:val="00CE138B"/>
    <w:rsid w:val="00CE24F2"/>
    <w:rsid w:val="00CE288F"/>
    <w:rsid w:val="00CE73A8"/>
    <w:rsid w:val="00CE7CD3"/>
    <w:rsid w:val="00CF01E5"/>
    <w:rsid w:val="00CF053C"/>
    <w:rsid w:val="00CF1E48"/>
    <w:rsid w:val="00CF25AA"/>
    <w:rsid w:val="00CF26C4"/>
    <w:rsid w:val="00CF2A97"/>
    <w:rsid w:val="00CF3F35"/>
    <w:rsid w:val="00CF426B"/>
    <w:rsid w:val="00CF53D6"/>
    <w:rsid w:val="00CF66C6"/>
    <w:rsid w:val="00CF75E5"/>
    <w:rsid w:val="00CF7E81"/>
    <w:rsid w:val="00D03B07"/>
    <w:rsid w:val="00D03E01"/>
    <w:rsid w:val="00D053C1"/>
    <w:rsid w:val="00D075CE"/>
    <w:rsid w:val="00D079C3"/>
    <w:rsid w:val="00D11402"/>
    <w:rsid w:val="00D1177E"/>
    <w:rsid w:val="00D13958"/>
    <w:rsid w:val="00D13CEC"/>
    <w:rsid w:val="00D15F8F"/>
    <w:rsid w:val="00D205C4"/>
    <w:rsid w:val="00D20B53"/>
    <w:rsid w:val="00D20B82"/>
    <w:rsid w:val="00D21D0E"/>
    <w:rsid w:val="00D244CF"/>
    <w:rsid w:val="00D2709B"/>
    <w:rsid w:val="00D31848"/>
    <w:rsid w:val="00D32A60"/>
    <w:rsid w:val="00D344BE"/>
    <w:rsid w:val="00D34558"/>
    <w:rsid w:val="00D35144"/>
    <w:rsid w:val="00D35A3C"/>
    <w:rsid w:val="00D37023"/>
    <w:rsid w:val="00D37120"/>
    <w:rsid w:val="00D377D4"/>
    <w:rsid w:val="00D40468"/>
    <w:rsid w:val="00D40A9D"/>
    <w:rsid w:val="00D42B41"/>
    <w:rsid w:val="00D43790"/>
    <w:rsid w:val="00D45938"/>
    <w:rsid w:val="00D46134"/>
    <w:rsid w:val="00D47A0A"/>
    <w:rsid w:val="00D52C14"/>
    <w:rsid w:val="00D53BC6"/>
    <w:rsid w:val="00D54DD1"/>
    <w:rsid w:val="00D55C6D"/>
    <w:rsid w:val="00D56A31"/>
    <w:rsid w:val="00D56BDF"/>
    <w:rsid w:val="00D57613"/>
    <w:rsid w:val="00D60007"/>
    <w:rsid w:val="00D601A8"/>
    <w:rsid w:val="00D61718"/>
    <w:rsid w:val="00D62C32"/>
    <w:rsid w:val="00D63CE3"/>
    <w:rsid w:val="00D63F18"/>
    <w:rsid w:val="00D64B9C"/>
    <w:rsid w:val="00D65B03"/>
    <w:rsid w:val="00D65EC5"/>
    <w:rsid w:val="00D665BE"/>
    <w:rsid w:val="00D679D0"/>
    <w:rsid w:val="00D7019E"/>
    <w:rsid w:val="00D70BD6"/>
    <w:rsid w:val="00D7122F"/>
    <w:rsid w:val="00D7195B"/>
    <w:rsid w:val="00D72014"/>
    <w:rsid w:val="00D7222C"/>
    <w:rsid w:val="00D737E8"/>
    <w:rsid w:val="00D8134E"/>
    <w:rsid w:val="00D81B92"/>
    <w:rsid w:val="00D81EB7"/>
    <w:rsid w:val="00D8395D"/>
    <w:rsid w:val="00D83A08"/>
    <w:rsid w:val="00D84282"/>
    <w:rsid w:val="00D85B49"/>
    <w:rsid w:val="00D86168"/>
    <w:rsid w:val="00D86487"/>
    <w:rsid w:val="00D874F2"/>
    <w:rsid w:val="00D878C6"/>
    <w:rsid w:val="00D87A42"/>
    <w:rsid w:val="00D87EF4"/>
    <w:rsid w:val="00D916DD"/>
    <w:rsid w:val="00D92A29"/>
    <w:rsid w:val="00D92F5B"/>
    <w:rsid w:val="00D9408E"/>
    <w:rsid w:val="00D95AD7"/>
    <w:rsid w:val="00D973B7"/>
    <w:rsid w:val="00D97B0E"/>
    <w:rsid w:val="00D97D24"/>
    <w:rsid w:val="00DA0EB6"/>
    <w:rsid w:val="00DA1AA0"/>
    <w:rsid w:val="00DA2B0E"/>
    <w:rsid w:val="00DA3FCF"/>
    <w:rsid w:val="00DA531F"/>
    <w:rsid w:val="00DA6B85"/>
    <w:rsid w:val="00DB0BCB"/>
    <w:rsid w:val="00DB184B"/>
    <w:rsid w:val="00DB259A"/>
    <w:rsid w:val="00DB296A"/>
    <w:rsid w:val="00DB2AAD"/>
    <w:rsid w:val="00DB3ECF"/>
    <w:rsid w:val="00DB63E3"/>
    <w:rsid w:val="00DB735E"/>
    <w:rsid w:val="00DB7A5B"/>
    <w:rsid w:val="00DC1AC6"/>
    <w:rsid w:val="00DC1CCC"/>
    <w:rsid w:val="00DC2E31"/>
    <w:rsid w:val="00DC3B4D"/>
    <w:rsid w:val="00DC42D5"/>
    <w:rsid w:val="00DC5558"/>
    <w:rsid w:val="00DC5E97"/>
    <w:rsid w:val="00DC7568"/>
    <w:rsid w:val="00DC7CD8"/>
    <w:rsid w:val="00DC7EE1"/>
    <w:rsid w:val="00DD0542"/>
    <w:rsid w:val="00DD0EA6"/>
    <w:rsid w:val="00DD1BD9"/>
    <w:rsid w:val="00DD3276"/>
    <w:rsid w:val="00DD3724"/>
    <w:rsid w:val="00DD4B56"/>
    <w:rsid w:val="00DD74CC"/>
    <w:rsid w:val="00DE0191"/>
    <w:rsid w:val="00DE154E"/>
    <w:rsid w:val="00DE22BD"/>
    <w:rsid w:val="00DE2342"/>
    <w:rsid w:val="00DE2A94"/>
    <w:rsid w:val="00DE360C"/>
    <w:rsid w:val="00DE4D82"/>
    <w:rsid w:val="00DE4EA9"/>
    <w:rsid w:val="00DE74DA"/>
    <w:rsid w:val="00DF05DC"/>
    <w:rsid w:val="00DF1A7B"/>
    <w:rsid w:val="00DF2580"/>
    <w:rsid w:val="00DF3610"/>
    <w:rsid w:val="00DF3B1B"/>
    <w:rsid w:val="00DF5279"/>
    <w:rsid w:val="00DF67D6"/>
    <w:rsid w:val="00DF7CEF"/>
    <w:rsid w:val="00E00947"/>
    <w:rsid w:val="00E03041"/>
    <w:rsid w:val="00E05311"/>
    <w:rsid w:val="00E06A1D"/>
    <w:rsid w:val="00E06ECA"/>
    <w:rsid w:val="00E074AB"/>
    <w:rsid w:val="00E07628"/>
    <w:rsid w:val="00E11064"/>
    <w:rsid w:val="00E11EBD"/>
    <w:rsid w:val="00E12107"/>
    <w:rsid w:val="00E125D2"/>
    <w:rsid w:val="00E12E9B"/>
    <w:rsid w:val="00E14310"/>
    <w:rsid w:val="00E1566F"/>
    <w:rsid w:val="00E15C19"/>
    <w:rsid w:val="00E1650C"/>
    <w:rsid w:val="00E16ED8"/>
    <w:rsid w:val="00E23382"/>
    <w:rsid w:val="00E23D05"/>
    <w:rsid w:val="00E25158"/>
    <w:rsid w:val="00E27BCC"/>
    <w:rsid w:val="00E301C6"/>
    <w:rsid w:val="00E30353"/>
    <w:rsid w:val="00E307B0"/>
    <w:rsid w:val="00E31DC9"/>
    <w:rsid w:val="00E32B33"/>
    <w:rsid w:val="00E3303A"/>
    <w:rsid w:val="00E33969"/>
    <w:rsid w:val="00E3452E"/>
    <w:rsid w:val="00E34559"/>
    <w:rsid w:val="00E35CD0"/>
    <w:rsid w:val="00E36244"/>
    <w:rsid w:val="00E37D9E"/>
    <w:rsid w:val="00E413D0"/>
    <w:rsid w:val="00E42FF9"/>
    <w:rsid w:val="00E456DF"/>
    <w:rsid w:val="00E45724"/>
    <w:rsid w:val="00E45A3A"/>
    <w:rsid w:val="00E46A70"/>
    <w:rsid w:val="00E474EA"/>
    <w:rsid w:val="00E476DA"/>
    <w:rsid w:val="00E50853"/>
    <w:rsid w:val="00E50E13"/>
    <w:rsid w:val="00E51FC3"/>
    <w:rsid w:val="00E529A2"/>
    <w:rsid w:val="00E52AFF"/>
    <w:rsid w:val="00E53338"/>
    <w:rsid w:val="00E53CE5"/>
    <w:rsid w:val="00E53EF2"/>
    <w:rsid w:val="00E53F78"/>
    <w:rsid w:val="00E54B61"/>
    <w:rsid w:val="00E5606A"/>
    <w:rsid w:val="00E569A9"/>
    <w:rsid w:val="00E57BF6"/>
    <w:rsid w:val="00E614B0"/>
    <w:rsid w:val="00E64400"/>
    <w:rsid w:val="00E64F78"/>
    <w:rsid w:val="00E66E63"/>
    <w:rsid w:val="00E6776D"/>
    <w:rsid w:val="00E711F5"/>
    <w:rsid w:val="00E715DA"/>
    <w:rsid w:val="00E72161"/>
    <w:rsid w:val="00E724A7"/>
    <w:rsid w:val="00E766DF"/>
    <w:rsid w:val="00E77D19"/>
    <w:rsid w:val="00E831FA"/>
    <w:rsid w:val="00E8411E"/>
    <w:rsid w:val="00E84EAE"/>
    <w:rsid w:val="00E85330"/>
    <w:rsid w:val="00E85BC5"/>
    <w:rsid w:val="00E85D1A"/>
    <w:rsid w:val="00E87D08"/>
    <w:rsid w:val="00E90936"/>
    <w:rsid w:val="00E9120A"/>
    <w:rsid w:val="00E928A1"/>
    <w:rsid w:val="00E94BD5"/>
    <w:rsid w:val="00E94C30"/>
    <w:rsid w:val="00E9709B"/>
    <w:rsid w:val="00E97376"/>
    <w:rsid w:val="00EA02F3"/>
    <w:rsid w:val="00EA078D"/>
    <w:rsid w:val="00EA217D"/>
    <w:rsid w:val="00EA6F79"/>
    <w:rsid w:val="00EA7631"/>
    <w:rsid w:val="00EA7E77"/>
    <w:rsid w:val="00EA7F44"/>
    <w:rsid w:val="00EB0087"/>
    <w:rsid w:val="00EB0F12"/>
    <w:rsid w:val="00EB1A97"/>
    <w:rsid w:val="00EB1F15"/>
    <w:rsid w:val="00EB2718"/>
    <w:rsid w:val="00EB2754"/>
    <w:rsid w:val="00EB282E"/>
    <w:rsid w:val="00EB2FD2"/>
    <w:rsid w:val="00EB68DB"/>
    <w:rsid w:val="00EC0136"/>
    <w:rsid w:val="00EC333C"/>
    <w:rsid w:val="00EC3F23"/>
    <w:rsid w:val="00EC4229"/>
    <w:rsid w:val="00EC51EB"/>
    <w:rsid w:val="00EC6D3F"/>
    <w:rsid w:val="00EC75AB"/>
    <w:rsid w:val="00ED083D"/>
    <w:rsid w:val="00ED1884"/>
    <w:rsid w:val="00ED3826"/>
    <w:rsid w:val="00ED4285"/>
    <w:rsid w:val="00ED4522"/>
    <w:rsid w:val="00ED4A4C"/>
    <w:rsid w:val="00ED632D"/>
    <w:rsid w:val="00ED6A46"/>
    <w:rsid w:val="00EE03F9"/>
    <w:rsid w:val="00EE1117"/>
    <w:rsid w:val="00EE2299"/>
    <w:rsid w:val="00EE35AF"/>
    <w:rsid w:val="00EE38FD"/>
    <w:rsid w:val="00EE3E82"/>
    <w:rsid w:val="00EE5BC1"/>
    <w:rsid w:val="00EE63F5"/>
    <w:rsid w:val="00EE7045"/>
    <w:rsid w:val="00EE7B29"/>
    <w:rsid w:val="00EE7D19"/>
    <w:rsid w:val="00EF0BB0"/>
    <w:rsid w:val="00EF383E"/>
    <w:rsid w:val="00EF4879"/>
    <w:rsid w:val="00EF53BC"/>
    <w:rsid w:val="00F013F2"/>
    <w:rsid w:val="00F01909"/>
    <w:rsid w:val="00F01EA2"/>
    <w:rsid w:val="00F118BC"/>
    <w:rsid w:val="00F1274C"/>
    <w:rsid w:val="00F136B2"/>
    <w:rsid w:val="00F139FA"/>
    <w:rsid w:val="00F13C41"/>
    <w:rsid w:val="00F14114"/>
    <w:rsid w:val="00F14242"/>
    <w:rsid w:val="00F14864"/>
    <w:rsid w:val="00F17979"/>
    <w:rsid w:val="00F21EF4"/>
    <w:rsid w:val="00F225CB"/>
    <w:rsid w:val="00F22806"/>
    <w:rsid w:val="00F22CB9"/>
    <w:rsid w:val="00F232C3"/>
    <w:rsid w:val="00F24ABD"/>
    <w:rsid w:val="00F25D64"/>
    <w:rsid w:val="00F274A6"/>
    <w:rsid w:val="00F30EB8"/>
    <w:rsid w:val="00F313A1"/>
    <w:rsid w:val="00F31D8D"/>
    <w:rsid w:val="00F31E15"/>
    <w:rsid w:val="00F321F6"/>
    <w:rsid w:val="00F332AF"/>
    <w:rsid w:val="00F3591E"/>
    <w:rsid w:val="00F365DB"/>
    <w:rsid w:val="00F4242A"/>
    <w:rsid w:val="00F44990"/>
    <w:rsid w:val="00F458E5"/>
    <w:rsid w:val="00F50283"/>
    <w:rsid w:val="00F5078C"/>
    <w:rsid w:val="00F52027"/>
    <w:rsid w:val="00F52367"/>
    <w:rsid w:val="00F5264E"/>
    <w:rsid w:val="00F53150"/>
    <w:rsid w:val="00F54A75"/>
    <w:rsid w:val="00F56402"/>
    <w:rsid w:val="00F56FD8"/>
    <w:rsid w:val="00F60F7A"/>
    <w:rsid w:val="00F6108F"/>
    <w:rsid w:val="00F61603"/>
    <w:rsid w:val="00F61DF9"/>
    <w:rsid w:val="00F624C3"/>
    <w:rsid w:val="00F62AE0"/>
    <w:rsid w:val="00F62B0A"/>
    <w:rsid w:val="00F646CB"/>
    <w:rsid w:val="00F654BE"/>
    <w:rsid w:val="00F659DA"/>
    <w:rsid w:val="00F66896"/>
    <w:rsid w:val="00F66B87"/>
    <w:rsid w:val="00F66F9B"/>
    <w:rsid w:val="00F67375"/>
    <w:rsid w:val="00F67528"/>
    <w:rsid w:val="00F67534"/>
    <w:rsid w:val="00F70585"/>
    <w:rsid w:val="00F7121A"/>
    <w:rsid w:val="00F7588A"/>
    <w:rsid w:val="00F7595E"/>
    <w:rsid w:val="00F768D1"/>
    <w:rsid w:val="00F777DA"/>
    <w:rsid w:val="00F80D8E"/>
    <w:rsid w:val="00F8189C"/>
    <w:rsid w:val="00F8276E"/>
    <w:rsid w:val="00F84D22"/>
    <w:rsid w:val="00F874AF"/>
    <w:rsid w:val="00F91C5F"/>
    <w:rsid w:val="00F938E4"/>
    <w:rsid w:val="00F944D7"/>
    <w:rsid w:val="00F957DA"/>
    <w:rsid w:val="00F95C10"/>
    <w:rsid w:val="00F97C09"/>
    <w:rsid w:val="00FA074D"/>
    <w:rsid w:val="00FA1EFB"/>
    <w:rsid w:val="00FA2327"/>
    <w:rsid w:val="00FA27C2"/>
    <w:rsid w:val="00FA3A44"/>
    <w:rsid w:val="00FA3FB2"/>
    <w:rsid w:val="00FA51C7"/>
    <w:rsid w:val="00FA6EC6"/>
    <w:rsid w:val="00FA736D"/>
    <w:rsid w:val="00FA7ACF"/>
    <w:rsid w:val="00FB0B98"/>
    <w:rsid w:val="00FB0C3A"/>
    <w:rsid w:val="00FB1226"/>
    <w:rsid w:val="00FB290B"/>
    <w:rsid w:val="00FB4312"/>
    <w:rsid w:val="00FB67BD"/>
    <w:rsid w:val="00FB7B32"/>
    <w:rsid w:val="00FC0555"/>
    <w:rsid w:val="00FC317D"/>
    <w:rsid w:val="00FC362C"/>
    <w:rsid w:val="00FC363F"/>
    <w:rsid w:val="00FC5A72"/>
    <w:rsid w:val="00FC73E5"/>
    <w:rsid w:val="00FC79F1"/>
    <w:rsid w:val="00FD0734"/>
    <w:rsid w:val="00FD0E36"/>
    <w:rsid w:val="00FD1316"/>
    <w:rsid w:val="00FE19AE"/>
    <w:rsid w:val="00FE41B1"/>
    <w:rsid w:val="00FE4553"/>
    <w:rsid w:val="00FE4F69"/>
    <w:rsid w:val="00FE4F76"/>
    <w:rsid w:val="00FF042F"/>
    <w:rsid w:val="00FF0786"/>
    <w:rsid w:val="00FF1C34"/>
    <w:rsid w:val="00FF22A5"/>
    <w:rsid w:val="00FF2860"/>
    <w:rsid w:val="00FF286E"/>
    <w:rsid w:val="00FF2A0C"/>
    <w:rsid w:val="00FF2BC0"/>
    <w:rsid w:val="00FF367F"/>
    <w:rsid w:val="00FF44CE"/>
    <w:rsid w:val="00FF68DC"/>
    <w:rsid w:val="00FF6C4A"/>
    <w:rsid w:val="395C1320"/>
    <w:rsid w:val="46E47FE9"/>
    <w:rsid w:val="50D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57"/>
    <w:qFormat/>
    <w:uiPriority w:val="0"/>
    <w:pPr>
      <w:spacing w:beforeAutospacing="1" w:afterAutospacing="1"/>
      <w:jc w:val="center"/>
      <w:outlineLvl w:val="0"/>
    </w:pPr>
    <w:rPr>
      <w:b/>
      <w:bCs/>
      <w:kern w:val="36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4"/>
    <w:basedOn w:val="1"/>
    <w:next w:val="1"/>
    <w:qFormat/>
    <w:uiPriority w:val="0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spacing w:before="240" w:after="60"/>
      <w:outlineLvl w:val="5"/>
    </w:pPr>
    <w:rPr>
      <w:rFonts w:ascii="Calibri" w:hAnsi="Calibri"/>
      <w:b/>
      <w:bCs/>
      <w:sz w:val="22"/>
      <w:szCs w:val="22"/>
      <w:lang w:val="zh-CN"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qFormat/>
    <w:uiPriority w:val="0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16"/>
      <w:szCs w:val="16"/>
    </w:rPr>
  </w:style>
  <w:style w:type="character" w:styleId="12">
    <w:name w:val="Hyperlink"/>
    <w:uiPriority w:val="99"/>
    <w:rPr>
      <w:color w:val="0000FF"/>
      <w:u w:val="single"/>
    </w:rPr>
  </w:style>
  <w:style w:type="character" w:styleId="13">
    <w:name w:val="page number"/>
    <w:basedOn w:val="8"/>
    <w:uiPriority w:val="0"/>
  </w:style>
  <w:style w:type="character" w:styleId="14">
    <w:name w:val="Strong"/>
    <w:qFormat/>
    <w:uiPriority w:val="0"/>
    <w:rPr>
      <w:b/>
      <w:bCs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ascii="Tahoma" w:hAnsi="Tahoma"/>
      <w:sz w:val="16"/>
      <w:szCs w:val="16"/>
      <w:lang w:val="zh-CN" w:eastAsia="zh-CN"/>
    </w:rPr>
  </w:style>
  <w:style w:type="paragraph" w:styleId="16">
    <w:name w:val="caption"/>
    <w:basedOn w:val="1"/>
    <w:next w:val="1"/>
    <w:unhideWhenUsed/>
    <w:qFormat/>
    <w:uiPriority w:val="35"/>
    <w:pPr>
      <w:spacing w:after="200"/>
      <w:jc w:val="left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17">
    <w:name w:val="annotation text"/>
    <w:basedOn w:val="1"/>
    <w:link w:val="55"/>
    <w:semiHidden/>
    <w:unhideWhenUsed/>
    <w:qFormat/>
    <w:uiPriority w:val="99"/>
    <w:rPr>
      <w:sz w:val="20"/>
      <w:szCs w:val="20"/>
    </w:rPr>
  </w:style>
  <w:style w:type="paragraph" w:styleId="18">
    <w:name w:val="annotation subject"/>
    <w:basedOn w:val="17"/>
    <w:next w:val="17"/>
    <w:link w:val="56"/>
    <w:semiHidden/>
    <w:unhideWhenUsed/>
    <w:qFormat/>
    <w:uiPriority w:val="99"/>
    <w:rPr>
      <w:b/>
      <w:bCs/>
      <w:lang w:val="zh-CN" w:eastAsia="zh-CN"/>
    </w:rPr>
  </w:style>
  <w:style w:type="paragraph" w:styleId="19">
    <w:name w:val="toc 8"/>
    <w:basedOn w:val="1"/>
    <w:next w:val="1"/>
    <w:unhideWhenUsed/>
    <w:qFormat/>
    <w:uiPriority w:val="39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20">
    <w:name w:val="header"/>
    <w:basedOn w:val="1"/>
    <w:link w:val="34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styleId="22">
    <w:name w:val="toc 7"/>
    <w:basedOn w:val="1"/>
    <w:next w:val="1"/>
    <w:unhideWhenUsed/>
    <w:qFormat/>
    <w:uiPriority w:val="39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23">
    <w:name w:val="toc 1"/>
    <w:basedOn w:val="1"/>
    <w:next w:val="1"/>
    <w:unhideWhenUsed/>
    <w:qFormat/>
    <w:uiPriority w:val="39"/>
    <w:pPr>
      <w:tabs>
        <w:tab w:val="left" w:pos="480"/>
        <w:tab w:val="right" w:leader="dot" w:pos="9779"/>
      </w:tabs>
    </w:pPr>
  </w:style>
  <w:style w:type="paragraph" w:styleId="24">
    <w:name w:val="toc 6"/>
    <w:basedOn w:val="1"/>
    <w:next w:val="1"/>
    <w:unhideWhenUsed/>
    <w:qFormat/>
    <w:uiPriority w:val="39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25">
    <w:name w:val="toc 3"/>
    <w:basedOn w:val="1"/>
    <w:next w:val="1"/>
    <w:unhideWhenUsed/>
    <w:qFormat/>
    <w:uiPriority w:val="39"/>
    <w:pPr>
      <w:tabs>
        <w:tab w:val="right" w:leader="dot" w:pos="9779"/>
      </w:tabs>
      <w:ind w:left="480"/>
    </w:pPr>
  </w:style>
  <w:style w:type="paragraph" w:styleId="26">
    <w:name w:val="toc 2"/>
    <w:basedOn w:val="1"/>
    <w:next w:val="1"/>
    <w:unhideWhenUsed/>
    <w:uiPriority w:val="39"/>
    <w:pPr>
      <w:tabs>
        <w:tab w:val="right" w:leader="dot" w:pos="9779"/>
      </w:tabs>
      <w:ind w:left="280"/>
    </w:pPr>
  </w:style>
  <w:style w:type="paragraph" w:styleId="27">
    <w:name w:val="toc 4"/>
    <w:basedOn w:val="1"/>
    <w:next w:val="1"/>
    <w:unhideWhenUsed/>
    <w:qFormat/>
    <w:uiPriority w:val="39"/>
    <w:pPr>
      <w:spacing w:after="100" w:line="259" w:lineRule="auto"/>
      <w:ind w:left="660"/>
      <w:jc w:val="left"/>
    </w:pPr>
    <w:rPr>
      <w:rFonts w:ascii="Calibri" w:hAnsi="Calibri"/>
      <w:sz w:val="22"/>
      <w:szCs w:val="22"/>
    </w:rPr>
  </w:style>
  <w:style w:type="paragraph" w:styleId="28">
    <w:name w:val="toc 5"/>
    <w:basedOn w:val="1"/>
    <w:next w:val="1"/>
    <w:unhideWhenUsed/>
    <w:qFormat/>
    <w:uiPriority w:val="39"/>
    <w:pPr>
      <w:spacing w:after="100" w:line="259" w:lineRule="auto"/>
      <w:ind w:left="880"/>
      <w:jc w:val="left"/>
    </w:pPr>
    <w:rPr>
      <w:rFonts w:ascii="Calibri" w:hAnsi="Calibri"/>
      <w:sz w:val="22"/>
      <w:szCs w:val="22"/>
    </w:rPr>
  </w:style>
  <w:style w:type="paragraph" w:styleId="29">
    <w:name w:val="footer"/>
    <w:basedOn w:val="1"/>
    <w:link w:val="35"/>
    <w:uiPriority w:val="99"/>
    <w:pPr>
      <w:tabs>
        <w:tab w:val="center" w:pos="4677"/>
        <w:tab w:val="right" w:pos="9355"/>
      </w:tabs>
    </w:pPr>
    <w:rPr>
      <w:sz w:val="24"/>
      <w:lang w:val="zh-CN" w:eastAsia="zh-CN"/>
    </w:rPr>
  </w:style>
  <w:style w:type="table" w:styleId="3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 Знак Знак Знак Знак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 (веб)1"/>
    <w:basedOn w:val="1"/>
    <w:qFormat/>
    <w:uiPriority w:val="0"/>
    <w:pPr>
      <w:spacing w:before="100" w:beforeAutospacing="1" w:after="100" w:afterAutospacing="1"/>
    </w:pPr>
  </w:style>
  <w:style w:type="paragraph" w:customStyle="1" w:styleId="33">
    <w:name w:val="western"/>
    <w:basedOn w:val="1"/>
    <w:qFormat/>
    <w:uiPriority w:val="0"/>
    <w:pPr>
      <w:spacing w:before="100" w:beforeAutospacing="1" w:after="100" w:afterAutospacing="1"/>
    </w:pPr>
  </w:style>
  <w:style w:type="character" w:customStyle="1" w:styleId="34">
    <w:name w:val="Верхний колонтитул Знак"/>
    <w:link w:val="20"/>
    <w:qFormat/>
    <w:uiPriority w:val="99"/>
    <w:rPr>
      <w:lang w:val="ru-RU" w:eastAsia="ru-RU" w:bidi="ar-SA"/>
    </w:rPr>
  </w:style>
  <w:style w:type="character" w:customStyle="1" w:styleId="35">
    <w:name w:val="Нижний колонтитул Знак"/>
    <w:link w:val="29"/>
    <w:qFormat/>
    <w:uiPriority w:val="99"/>
    <w:rPr>
      <w:sz w:val="24"/>
      <w:szCs w:val="24"/>
    </w:rPr>
  </w:style>
  <w:style w:type="paragraph" w:styleId="36">
    <w:name w:val="No Spacing"/>
    <w:link w:val="37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7">
    <w:name w:val="Без интервала Знак"/>
    <w:link w:val="36"/>
    <w:uiPriority w:val="1"/>
    <w:rPr>
      <w:rFonts w:ascii="Calibri" w:hAnsi="Calibri"/>
      <w:sz w:val="22"/>
      <w:szCs w:val="22"/>
      <w:lang w:bidi="ar-SA"/>
    </w:rPr>
  </w:style>
  <w:style w:type="character" w:customStyle="1" w:styleId="38">
    <w:name w:val="Текст выноски Знак"/>
    <w:link w:val="15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39">
    <w:name w:val="Сетка таблицы1"/>
    <w:basedOn w:val="9"/>
    <w:uiPriority w:val="59"/>
    <w:rPr>
      <w:rFonts w:eastAsia="Calibr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2"/>
    <w:basedOn w:val="9"/>
    <w:qFormat/>
    <w:uiPriority w:val="59"/>
    <w:rPr>
      <w:rFonts w:eastAsia="Calibr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6 Знак"/>
    <w:link w:val="7"/>
    <w:semiHidden/>
    <w:qFormat/>
    <w:uiPriority w:val="9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42">
    <w:name w:val="apple-style-span"/>
    <w:qFormat/>
    <w:uiPriority w:val="0"/>
  </w:style>
  <w:style w:type="paragraph" w:customStyle="1" w:styleId="43">
    <w:name w:val="TOC Heading"/>
    <w:basedOn w:val="2"/>
    <w:next w:val="1"/>
    <w:semiHidden/>
    <w:unhideWhenUsed/>
    <w:qFormat/>
    <w:uiPriority w:val="39"/>
    <w:pPr>
      <w:keepNext/>
      <w:keepLines/>
      <w:spacing w:before="480" w:beforeAutospacing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44">
    <w:name w:val="List Paragraph"/>
    <w:basedOn w:val="1"/>
    <w:qFormat/>
    <w:uiPriority w:val="34"/>
    <w:pPr>
      <w:spacing w:after="200" w:line="276" w:lineRule="auto"/>
      <w:ind w:left="72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character" w:customStyle="1" w:styleId="45">
    <w:name w:val="Font Style11"/>
    <w:uiPriority w:val="99"/>
    <w:rPr>
      <w:rFonts w:ascii="Arial" w:hAnsi="Arial" w:cs="Arial"/>
      <w:sz w:val="24"/>
      <w:szCs w:val="24"/>
    </w:rPr>
  </w:style>
  <w:style w:type="paragraph" w:customStyle="1" w:styleId="46">
    <w:name w:val="Standard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lang w:val="ru-RU" w:eastAsia="ru-RU" w:bidi="ar-SA"/>
    </w:rPr>
  </w:style>
  <w:style w:type="character" w:customStyle="1" w:styleId="47">
    <w:name w:val="Font Style15"/>
    <w:qFormat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48">
    <w:name w:val="Font Style17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49">
    <w:name w:val="Style8"/>
    <w:basedOn w:val="1"/>
    <w:uiPriority w:val="99"/>
    <w:pPr>
      <w:widowControl w:val="0"/>
      <w:autoSpaceDE w:val="0"/>
      <w:autoSpaceDN w:val="0"/>
      <w:adjustRightInd w:val="0"/>
      <w:spacing w:line="623" w:lineRule="exact"/>
      <w:jc w:val="left"/>
    </w:pPr>
    <w:rPr>
      <w:rFonts w:ascii="MS Mincho" w:hAnsi="Calibri" w:eastAsia="MS Mincho"/>
      <w:sz w:val="24"/>
    </w:rPr>
  </w:style>
  <w:style w:type="character" w:customStyle="1" w:styleId="50">
    <w:name w:val="Font Style14"/>
    <w:uiPriority w:val="99"/>
    <w:rPr>
      <w:rFonts w:ascii="Century Schoolbook" w:hAnsi="Century Schoolbook" w:cs="Century Schoolbook"/>
      <w:sz w:val="26"/>
      <w:szCs w:val="26"/>
    </w:rPr>
  </w:style>
  <w:style w:type="paragraph" w:customStyle="1" w:styleId="51">
    <w:name w:val="Style2"/>
    <w:basedOn w:val="1"/>
    <w:qFormat/>
    <w:uiPriority w:val="99"/>
    <w:pPr>
      <w:widowControl w:val="0"/>
      <w:autoSpaceDE w:val="0"/>
      <w:autoSpaceDN w:val="0"/>
      <w:adjustRightInd w:val="0"/>
      <w:spacing w:line="367" w:lineRule="exact"/>
      <w:jc w:val="left"/>
    </w:pPr>
    <w:rPr>
      <w:rFonts w:ascii="Century Schoolbook" w:hAnsi="Century Schoolbook"/>
      <w:sz w:val="24"/>
    </w:rPr>
  </w:style>
  <w:style w:type="character" w:customStyle="1" w:styleId="52">
    <w:name w:val="Font Style13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53">
    <w:name w:val="ТЕКСТ"/>
    <w:basedOn w:val="1"/>
    <w:link w:val="54"/>
    <w:qFormat/>
    <w:uiPriority w:val="0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  <w:lang w:val="zh-CN" w:eastAsia="en-US"/>
    </w:rPr>
  </w:style>
  <w:style w:type="character" w:customStyle="1" w:styleId="54">
    <w:name w:val="ТЕКСТ Знак"/>
    <w:link w:val="53"/>
    <w:qFormat/>
    <w:locked/>
    <w:uiPriority w:val="0"/>
    <w:rPr>
      <w:sz w:val="26"/>
      <w:lang w:eastAsia="en-US"/>
    </w:rPr>
  </w:style>
  <w:style w:type="character" w:customStyle="1" w:styleId="55">
    <w:name w:val="Текст примечания Знак"/>
    <w:basedOn w:val="8"/>
    <w:link w:val="17"/>
    <w:semiHidden/>
    <w:qFormat/>
    <w:uiPriority w:val="99"/>
  </w:style>
  <w:style w:type="character" w:customStyle="1" w:styleId="56">
    <w:name w:val="Тема примечания Знак"/>
    <w:link w:val="18"/>
    <w:semiHidden/>
    <w:qFormat/>
    <w:uiPriority w:val="99"/>
    <w:rPr>
      <w:b/>
      <w:bCs/>
    </w:rPr>
  </w:style>
  <w:style w:type="character" w:customStyle="1" w:styleId="57">
    <w:name w:val="Заголовок 1 Знак"/>
    <w:link w:val="2"/>
    <w:qFormat/>
    <w:uiPriority w:val="0"/>
    <w:rPr>
      <w:b/>
      <w:bCs/>
      <w:kern w:val="36"/>
      <w:sz w:val="28"/>
      <w:szCs w:val="48"/>
    </w:rPr>
  </w:style>
  <w:style w:type="table" w:customStyle="1" w:styleId="58">
    <w:name w:val="Сетка таблицы3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4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5"/>
    <w:basedOn w:val="9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7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8"/>
    <w:basedOn w:val="9"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4">
    <w:name w:val="Intense Quote"/>
    <w:basedOn w:val="1"/>
    <w:next w:val="1"/>
    <w:link w:val="65"/>
    <w:qFormat/>
    <w:uiPriority w:val="30"/>
    <w:pPr>
      <w:pBdr>
        <w:bottom w:val="single" w:color="4472C4" w:themeColor="accent1" w:sz="4" w:space="4"/>
      </w:pBdr>
      <w:spacing w:before="200" w:after="280" w:line="276" w:lineRule="auto"/>
      <w:ind w:left="936" w:right="936"/>
      <w:jc w:val="left"/>
    </w:pPr>
    <w:rPr>
      <w:rFonts w:asciiTheme="minorHAnsi" w:hAnsiTheme="minorHAnsi" w:eastAsiaTheme="minorEastAsia" w:cstheme="minorBidi"/>
      <w:b/>
      <w:bCs/>
      <w:i/>
      <w:iCs/>
      <w:color w:val="4472C4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65">
    <w:name w:val="Выделенная цитата Знак"/>
    <w:basedOn w:val="8"/>
    <w:link w:val="64"/>
    <w:qFormat/>
    <w:uiPriority w:val="30"/>
    <w:rPr>
      <w:rFonts w:asciiTheme="minorHAnsi" w:hAnsiTheme="minorHAnsi" w:eastAsiaTheme="minorEastAsia" w:cstheme="minorBidi"/>
      <w:b/>
      <w:bCs/>
      <w:i/>
      <w:iCs/>
      <w:color w:val="4472C4" w:themeColor="accent1"/>
      <w:sz w:val="22"/>
      <w:szCs w:val="22"/>
      <w14:textFill>
        <w14:solidFill>
          <w14:schemeClr w14:val="accent1"/>
        </w14:solidFill>
      </w14:textFill>
    </w:rPr>
  </w:style>
  <w:style w:type="paragraph" w:customStyle="1" w:styleId="66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E170-F2D0-4EB4-B782-9B3B7061F3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ФАУГИ</Company>
  <Pages>29</Pages>
  <Words>5207</Words>
  <Characters>29681</Characters>
  <Lines>247</Lines>
  <Paragraphs>69</Paragraphs>
  <TotalTime>14</TotalTime>
  <ScaleCrop>false</ScaleCrop>
  <LinksUpToDate>false</LinksUpToDate>
  <CharactersWithSpaces>34819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2023-03-06T12:43:00Z</dcterms:created>
  <dc:creator>secret</dc:creator>
  <cp:lastModifiedBy>ZamGlavy</cp:lastModifiedBy>
  <cp:lastPrinted>2023-03-30T05:47:31Z</cp:lastPrinted>
  <dcterms:modified xsi:type="dcterms:W3CDTF">2023-03-30T05:48:56Z</dcterms:modified>
  <dc:title>«Утверждаю»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55E115FF1C47450EAE7A503DC32B012A</vt:lpwstr>
  </property>
</Properties>
</file>